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6A077" w14:textId="763A4C86" w:rsidR="00D04207" w:rsidRDefault="00D04207" w:rsidP="00CA09D6">
      <w:pPr>
        <w:jc w:val="center"/>
        <w:rPr>
          <w:b/>
        </w:rPr>
      </w:pPr>
      <w:r>
        <w:rPr>
          <w:b/>
        </w:rPr>
        <w:t>Frequently Asked Questions (FAQ)</w:t>
      </w:r>
    </w:p>
    <w:p w14:paraId="4CA37936" w14:textId="6C59F238" w:rsidR="00D04207" w:rsidRPr="00D04207" w:rsidRDefault="00D04207" w:rsidP="00D04207">
      <w:pPr>
        <w:rPr>
          <w:b/>
        </w:rPr>
      </w:pPr>
      <w:r w:rsidRPr="00D04207">
        <w:rPr>
          <w:rFonts w:cs="Arial"/>
          <w:i/>
          <w:iCs/>
          <w:color w:val="000000"/>
        </w:rPr>
        <w:t>This document will be updated as new questions are received and answered regarding the FY20</w:t>
      </w:r>
      <w:r w:rsidR="002E1FCD">
        <w:rPr>
          <w:rFonts w:cs="Arial"/>
          <w:i/>
          <w:iCs/>
          <w:color w:val="000000"/>
        </w:rPr>
        <w:t xml:space="preserve">21 CFA Competition. </w:t>
      </w:r>
      <w:r w:rsidRPr="00D04207">
        <w:rPr>
          <w:rFonts w:cs="Arial"/>
          <w:i/>
          <w:iCs/>
          <w:color w:val="000000"/>
        </w:rPr>
        <w:t xml:space="preserve">Questions submitted within 48 business hours before the project application submission deadline may not be answered.  All questions should be submitted to </w:t>
      </w:r>
      <w:hyperlink r:id="rId9" w:history="1">
        <w:r w:rsidRPr="00D04207">
          <w:rPr>
            <w:rStyle w:val="Hyperlink"/>
            <w:rFonts w:cs="Arial"/>
            <w:i/>
            <w:iCs/>
            <w:color w:val="1155CC"/>
          </w:rPr>
          <w:t>mohs.hsp.application@baltimorecity.gov</w:t>
        </w:r>
      </w:hyperlink>
      <w:r w:rsidRPr="00D04207">
        <w:rPr>
          <w:rFonts w:cs="Arial"/>
          <w:i/>
          <w:iCs/>
          <w:color w:val="000000"/>
        </w:rPr>
        <w:t>.</w:t>
      </w:r>
    </w:p>
    <w:p w14:paraId="64AB58C4" w14:textId="23A9C968" w:rsidR="008F7041" w:rsidRPr="001B0F98" w:rsidRDefault="002E1FCD" w:rsidP="001B0F98">
      <w:pPr>
        <w:pStyle w:val="ListParagraph"/>
        <w:numPr>
          <w:ilvl w:val="0"/>
          <w:numId w:val="2"/>
        </w:numPr>
        <w:rPr>
          <w:b/>
        </w:rPr>
      </w:pPr>
      <w:r>
        <w:rPr>
          <w:b/>
        </w:rPr>
        <w:t>Can renewal applications request additional funding or is it only level funding?</w:t>
      </w:r>
    </w:p>
    <w:p w14:paraId="13F73F14" w14:textId="155F48E0" w:rsidR="002E1FCD" w:rsidRDefault="00D04207" w:rsidP="002E1FCD">
      <w:pPr>
        <w:ind w:left="360"/>
      </w:pPr>
      <w:r w:rsidRPr="00D04207">
        <w:t>Answer</w:t>
      </w:r>
      <w:r w:rsidR="008F7041" w:rsidRPr="00D04207">
        <w:t xml:space="preserve">: </w:t>
      </w:r>
      <w:r w:rsidR="002E1FCD">
        <w:t>Renewal projects may submit requests for additional funding; however it is dependent on the funding source</w:t>
      </w:r>
      <w:r w:rsidR="00290F87">
        <w:t xml:space="preserve"> and</w:t>
      </w:r>
      <w:r w:rsidR="002E1FCD">
        <w:t xml:space="preserve"> whether additional fu</w:t>
      </w:r>
      <w:r w:rsidR="00290F87">
        <w:t>nding is available.</w:t>
      </w:r>
      <w:r w:rsidR="002E1FCD">
        <w:t xml:space="preserve"> </w:t>
      </w:r>
    </w:p>
    <w:p w14:paraId="50615C0A" w14:textId="7D751896" w:rsidR="002E1FCD" w:rsidRDefault="002E1FCD" w:rsidP="002E1FCD">
      <w:pPr>
        <w:ind w:left="360"/>
      </w:pPr>
      <w:r>
        <w:t xml:space="preserve">If you have specific questions regarding a renewal project please follow up by emailing </w:t>
      </w:r>
      <w:hyperlink r:id="rId10" w:history="1">
        <w:r w:rsidRPr="00BE52C0">
          <w:rPr>
            <w:rStyle w:val="Hyperlink"/>
            <w:rFonts w:cs="Arial"/>
            <w:iCs/>
            <w:color w:val="1155CC"/>
          </w:rPr>
          <w:t>mohs.hsp.application@baltimorecity.gov</w:t>
        </w:r>
      </w:hyperlink>
      <w:r w:rsidRPr="00BE52C0">
        <w:rPr>
          <w:rFonts w:cs="Arial"/>
          <w:iCs/>
          <w:color w:val="000000"/>
        </w:rPr>
        <w:t>.</w:t>
      </w:r>
    </w:p>
    <w:p w14:paraId="2A1D02A5" w14:textId="31C61C7D" w:rsidR="002E1FCD" w:rsidRPr="002E1FCD" w:rsidRDefault="002E1FCD" w:rsidP="00103822">
      <w:pPr>
        <w:pStyle w:val="ListParagraph"/>
        <w:numPr>
          <w:ilvl w:val="0"/>
          <w:numId w:val="2"/>
        </w:numPr>
        <w:rPr>
          <w:rFonts w:cs="Helvetica"/>
          <w:shd w:val="clear" w:color="auto" w:fill="FFFFFF"/>
        </w:rPr>
      </w:pPr>
      <w:r w:rsidRPr="002E1FCD">
        <w:rPr>
          <w:b/>
        </w:rPr>
        <w:t xml:space="preserve">If you received funding in the past, but not in </w:t>
      </w:r>
      <w:r>
        <w:rPr>
          <w:b/>
        </w:rPr>
        <w:t>City Fiscal Year 2020</w:t>
      </w:r>
      <w:r w:rsidRPr="002E1FCD">
        <w:rPr>
          <w:b/>
        </w:rPr>
        <w:t xml:space="preserve">, do you apply as a new or renewal project? </w:t>
      </w:r>
    </w:p>
    <w:p w14:paraId="0054B7D7" w14:textId="77777777" w:rsidR="002E1FCD" w:rsidRDefault="002E1FCD" w:rsidP="002E1FCD">
      <w:pPr>
        <w:pStyle w:val="ListParagraph"/>
        <w:ind w:left="360"/>
        <w:rPr>
          <w:b/>
        </w:rPr>
      </w:pPr>
    </w:p>
    <w:p w14:paraId="4B05F7BE" w14:textId="77777777" w:rsidR="00103822" w:rsidRDefault="00083CDC" w:rsidP="00103822">
      <w:pPr>
        <w:pStyle w:val="ListParagraph"/>
        <w:ind w:left="360"/>
        <w:rPr>
          <w:rFonts w:cs="Helvetica"/>
          <w:shd w:val="clear" w:color="auto" w:fill="FFFFFF"/>
        </w:rPr>
      </w:pPr>
      <w:r w:rsidRPr="00D04207">
        <w:t>A</w:t>
      </w:r>
      <w:r w:rsidR="00D04207" w:rsidRPr="00D04207">
        <w:t>nswer</w:t>
      </w:r>
      <w:r w:rsidRPr="00D04207">
        <w:t xml:space="preserve">: </w:t>
      </w:r>
      <w:r w:rsidR="002E1FCD">
        <w:t xml:space="preserve">If you </w:t>
      </w:r>
      <w:r w:rsidR="002E1FCD" w:rsidRPr="002E1FCD">
        <w:rPr>
          <w:u w:val="single"/>
        </w:rPr>
        <w:t>did not</w:t>
      </w:r>
      <w:r w:rsidR="002E1FCD">
        <w:t xml:space="preserve"> receive funding through the CFA for the City Fiscal Year 2020 (July 1, 2019 -June 30, 2020)</w:t>
      </w:r>
      <w:r w:rsidR="002E1FCD">
        <w:rPr>
          <w:rFonts w:cs="Helvetica"/>
          <w:shd w:val="clear" w:color="auto" w:fill="FFFFFF"/>
        </w:rPr>
        <w:t xml:space="preserve">, you will need to apply as a new project.  </w:t>
      </w:r>
    </w:p>
    <w:p w14:paraId="6760626A" w14:textId="77777777" w:rsidR="00103822" w:rsidRDefault="00103822" w:rsidP="00103822">
      <w:pPr>
        <w:pStyle w:val="ListParagraph"/>
        <w:ind w:left="360"/>
        <w:rPr>
          <w:rFonts w:cs="Helvetica"/>
          <w:shd w:val="clear" w:color="auto" w:fill="FFFFFF"/>
        </w:rPr>
      </w:pPr>
    </w:p>
    <w:p w14:paraId="3E094E32" w14:textId="7744C9FB" w:rsidR="00083CDC" w:rsidRPr="00103822" w:rsidRDefault="00103822" w:rsidP="00103822">
      <w:pPr>
        <w:pStyle w:val="ListParagraph"/>
        <w:numPr>
          <w:ilvl w:val="0"/>
          <w:numId w:val="2"/>
        </w:numPr>
        <w:rPr>
          <w:rFonts w:cs="Helvetica"/>
          <w:shd w:val="clear" w:color="auto" w:fill="FFFFFF"/>
        </w:rPr>
      </w:pPr>
      <w:r>
        <w:rPr>
          <w:b/>
        </w:rPr>
        <w:t>Are emergency shelter clients required to be entered into Coordinated Access?</w:t>
      </w:r>
    </w:p>
    <w:p w14:paraId="0D02DE1A" w14:textId="53CC1123" w:rsidR="00103822" w:rsidRDefault="00CD47E1" w:rsidP="00103822">
      <w:pPr>
        <w:ind w:left="360"/>
      </w:pPr>
      <w:r w:rsidRPr="00D04207">
        <w:t>A</w:t>
      </w:r>
      <w:r w:rsidR="00D04207" w:rsidRPr="00D04207">
        <w:t>nswer</w:t>
      </w:r>
      <w:r w:rsidRPr="00D04207">
        <w:t xml:space="preserve">: </w:t>
      </w:r>
      <w:r w:rsidR="00103822">
        <w:t>Al</w:t>
      </w:r>
      <w:r w:rsidR="00290F87">
        <w:t>l emergency shelters must have processes</w:t>
      </w:r>
      <w:r w:rsidR="00103822">
        <w:t xml:space="preserve"> and protocols in place to engage clients and enter them into Coordinated Access since this provides clients with opportunities to be matched to housing placements. However, clients may choose to refuse. </w:t>
      </w:r>
    </w:p>
    <w:p w14:paraId="1BB25EC9" w14:textId="77777777" w:rsidR="00A65A32" w:rsidRPr="00A65A32" w:rsidRDefault="00A65A32" w:rsidP="00A65A32">
      <w:pPr>
        <w:pStyle w:val="ListParagraph"/>
        <w:numPr>
          <w:ilvl w:val="0"/>
          <w:numId w:val="2"/>
        </w:numPr>
      </w:pPr>
      <w:r w:rsidRPr="00A65A32">
        <w:rPr>
          <w:b/>
        </w:rPr>
        <w:t xml:space="preserve">Which projects are only eligible for renewals? </w:t>
      </w:r>
    </w:p>
    <w:p w14:paraId="1E1DDFDD" w14:textId="77777777" w:rsidR="00A65A32" w:rsidRPr="00A65A32" w:rsidRDefault="00A65A32" w:rsidP="00A65A32">
      <w:pPr>
        <w:pStyle w:val="ListParagraph"/>
      </w:pPr>
    </w:p>
    <w:p w14:paraId="34C6A486" w14:textId="6FA781D5" w:rsidR="00A65A32" w:rsidRDefault="00CD47E1" w:rsidP="00A65A32">
      <w:pPr>
        <w:pStyle w:val="ListParagraph"/>
        <w:ind w:left="360"/>
      </w:pPr>
      <w:r w:rsidRPr="00D04207">
        <w:t>A</w:t>
      </w:r>
      <w:r w:rsidR="00D04207" w:rsidRPr="00D04207">
        <w:t>nswer</w:t>
      </w:r>
      <w:r w:rsidRPr="00D04207">
        <w:t xml:space="preserve">: </w:t>
      </w:r>
      <w:r w:rsidR="00A65A32">
        <w:t xml:space="preserve"> Transitional Housing and Permanent Supportive Housing Project types are only accepting renewal applications. Detailed information can be found in the guidance in the FY 2021 CFA Request for Proposals.</w:t>
      </w:r>
    </w:p>
    <w:p w14:paraId="4C817978" w14:textId="77777777" w:rsidR="00A65A32" w:rsidRDefault="00A65A32" w:rsidP="00A65A32">
      <w:pPr>
        <w:pStyle w:val="ListParagraph"/>
        <w:ind w:left="360"/>
      </w:pPr>
    </w:p>
    <w:p w14:paraId="7DF70D8E" w14:textId="77777777" w:rsidR="00A65A32" w:rsidRPr="00A65A32" w:rsidRDefault="00A65A32" w:rsidP="00290F87">
      <w:pPr>
        <w:pStyle w:val="ListParagraph"/>
        <w:numPr>
          <w:ilvl w:val="0"/>
          <w:numId w:val="2"/>
        </w:numPr>
      </w:pPr>
      <w:r w:rsidRPr="00A65A32">
        <w:rPr>
          <w:b/>
        </w:rPr>
        <w:t xml:space="preserve">Is there a separate grant for Drop-in Centers? </w:t>
      </w:r>
    </w:p>
    <w:p w14:paraId="0A4847BE" w14:textId="77777777" w:rsidR="00A65A32" w:rsidRDefault="00A65A32" w:rsidP="00A65A32">
      <w:pPr>
        <w:pStyle w:val="ListParagraph"/>
        <w:ind w:left="360"/>
        <w:rPr>
          <w:b/>
        </w:rPr>
      </w:pPr>
    </w:p>
    <w:p w14:paraId="76707680" w14:textId="6550E81E" w:rsidR="00AB5EAC" w:rsidRPr="003B1D58" w:rsidRDefault="00AB5EAC" w:rsidP="00A65A32">
      <w:pPr>
        <w:pStyle w:val="ListParagraph"/>
        <w:ind w:left="360"/>
      </w:pPr>
      <w:r w:rsidRPr="00A65A32">
        <w:t>A</w:t>
      </w:r>
      <w:r w:rsidR="003B1D58" w:rsidRPr="00A65A32">
        <w:t>nswer</w:t>
      </w:r>
      <w:r w:rsidRPr="00A65A32">
        <w:t xml:space="preserve">: </w:t>
      </w:r>
      <w:r w:rsidR="00A65A32">
        <w:t xml:space="preserve">Drop-in centers may be eligible for funding under </w:t>
      </w:r>
      <w:r w:rsidR="00FD35D1">
        <w:t>the Emergency S</w:t>
      </w:r>
      <w:r w:rsidR="00A65A32">
        <w:t xml:space="preserve">helter </w:t>
      </w:r>
      <w:r w:rsidR="00FD35D1">
        <w:t xml:space="preserve">Project Type. Agencies should indicate on the application that they are applying for Drop-in Center on the first page of the application under Proposal Information. Any agency applying for Drop-in Center funding will need to complete the Emergency Shelter Budget Template. </w:t>
      </w:r>
    </w:p>
    <w:p w14:paraId="77859FC9" w14:textId="659496A4" w:rsidR="00FD35D1" w:rsidRDefault="00FD35D1">
      <w:pPr>
        <w:rPr>
          <w:rFonts w:cs="Times New Roman"/>
          <w:color w:val="000000"/>
        </w:rPr>
      </w:pPr>
      <w:r>
        <w:br w:type="page"/>
      </w:r>
    </w:p>
    <w:p w14:paraId="1064112F" w14:textId="77777777" w:rsidR="004477C8" w:rsidRDefault="004477C8" w:rsidP="00AB5EAC">
      <w:pPr>
        <w:pStyle w:val="Default"/>
        <w:rPr>
          <w:rFonts w:asciiTheme="minorHAnsi" w:hAnsiTheme="minorHAnsi"/>
          <w:sz w:val="22"/>
          <w:szCs w:val="22"/>
        </w:rPr>
      </w:pPr>
    </w:p>
    <w:p w14:paraId="1CF27502" w14:textId="304A32B8" w:rsidR="00FD35D1" w:rsidRDefault="00FD35D1" w:rsidP="00FD35D1">
      <w:pPr>
        <w:pStyle w:val="ListParagraph"/>
        <w:numPr>
          <w:ilvl w:val="0"/>
          <w:numId w:val="2"/>
        </w:numPr>
        <w:rPr>
          <w:b/>
        </w:rPr>
      </w:pPr>
      <w:r>
        <w:rPr>
          <w:b/>
        </w:rPr>
        <w:t>What funding streams are available for Emergency Shelter?</w:t>
      </w:r>
    </w:p>
    <w:p w14:paraId="61224028" w14:textId="77777777" w:rsidR="00FD35D1" w:rsidRPr="00FD35D1" w:rsidRDefault="00FD35D1" w:rsidP="00FD35D1">
      <w:pPr>
        <w:pStyle w:val="ListParagraph"/>
        <w:rPr>
          <w:b/>
        </w:rPr>
      </w:pPr>
    </w:p>
    <w:p w14:paraId="09C60A96" w14:textId="77777777" w:rsidR="00FD35D1" w:rsidRDefault="004477C8" w:rsidP="00FD35D1">
      <w:pPr>
        <w:pStyle w:val="ListParagraph"/>
      </w:pPr>
      <w:r w:rsidRPr="003B1D58">
        <w:t>A</w:t>
      </w:r>
      <w:r w:rsidR="003B1D58" w:rsidRPr="003B1D58">
        <w:t>nswer</w:t>
      </w:r>
      <w:r w:rsidRPr="003B1D58">
        <w:t xml:space="preserve">: </w:t>
      </w:r>
      <w:r w:rsidR="00FD35D1">
        <w:t xml:space="preserve">ESG, HSP, and DSS. Detailed information can be found in the guidance in the FY 2021 CFA Request for Proposals.  </w:t>
      </w:r>
    </w:p>
    <w:p w14:paraId="05764691" w14:textId="77777777" w:rsidR="00FD35D1" w:rsidRDefault="00FD35D1" w:rsidP="00FD35D1">
      <w:pPr>
        <w:pStyle w:val="ListParagraph"/>
      </w:pPr>
    </w:p>
    <w:p w14:paraId="0E1BD909" w14:textId="34CFBE8A" w:rsidR="00FD35D1" w:rsidRDefault="00FD35D1" w:rsidP="00FD35D1">
      <w:pPr>
        <w:pStyle w:val="ListParagraph"/>
      </w:pPr>
      <w:r>
        <w:t>Please note: The CFY2021PowerPoint Slide deck was corrected to list the above listed funding streams.</w:t>
      </w:r>
    </w:p>
    <w:tbl>
      <w:tblPr>
        <w:tblW w:w="5000" w:type="pct"/>
        <w:tblCellMar>
          <w:left w:w="0" w:type="dxa"/>
          <w:right w:w="0" w:type="dxa"/>
        </w:tblCellMar>
        <w:tblLook w:val="0420" w:firstRow="1" w:lastRow="0" w:firstColumn="0" w:lastColumn="0" w:noHBand="0" w:noVBand="1"/>
      </w:tblPr>
      <w:tblGrid>
        <w:gridCol w:w="1862"/>
        <w:gridCol w:w="6485"/>
        <w:gridCol w:w="1301"/>
      </w:tblGrid>
      <w:tr w:rsidR="00FD35D1" w:rsidRPr="00FD35D1" w14:paraId="42EB3E3F" w14:textId="77777777" w:rsidTr="00FD35D1">
        <w:trPr>
          <w:trHeight w:val="295"/>
        </w:trPr>
        <w:tc>
          <w:tcPr>
            <w:tcW w:w="965" w:type="pct"/>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14:paraId="3DF5FA40" w14:textId="77777777" w:rsidR="00FD35D1" w:rsidRPr="00FD35D1" w:rsidRDefault="00FD35D1" w:rsidP="00FD35D1">
            <w:pPr>
              <w:spacing w:after="0" w:line="240" w:lineRule="auto"/>
              <w:rPr>
                <w:rFonts w:eastAsia="Times New Roman" w:cs="Arial"/>
                <w:szCs w:val="36"/>
              </w:rPr>
            </w:pPr>
            <w:r w:rsidRPr="00FD35D1">
              <w:rPr>
                <w:rFonts w:eastAsia="Times New Roman" w:cs="Arial"/>
                <w:b/>
                <w:bCs/>
                <w:color w:val="FFFFFF" w:themeColor="light1"/>
                <w:kern w:val="24"/>
                <w:szCs w:val="28"/>
              </w:rPr>
              <w:t>Project Type</w:t>
            </w:r>
          </w:p>
        </w:tc>
        <w:tc>
          <w:tcPr>
            <w:tcW w:w="3361" w:type="pct"/>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14:paraId="208E4231" w14:textId="77777777" w:rsidR="00FD35D1" w:rsidRPr="00FD35D1" w:rsidRDefault="00FD35D1" w:rsidP="00FD35D1">
            <w:pPr>
              <w:spacing w:after="0" w:line="240" w:lineRule="auto"/>
              <w:rPr>
                <w:rFonts w:eastAsia="Times New Roman" w:cs="Arial"/>
                <w:szCs w:val="36"/>
              </w:rPr>
            </w:pPr>
            <w:r w:rsidRPr="00FD35D1">
              <w:rPr>
                <w:rFonts w:eastAsia="Times New Roman" w:cs="Arial"/>
                <w:b/>
                <w:bCs/>
                <w:color w:val="FFFFFF" w:themeColor="light1"/>
                <w:kern w:val="24"/>
                <w:szCs w:val="28"/>
              </w:rPr>
              <w:t>Description</w:t>
            </w:r>
          </w:p>
        </w:tc>
        <w:tc>
          <w:tcPr>
            <w:tcW w:w="674" w:type="pct"/>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14:paraId="0C8E1C95" w14:textId="77777777" w:rsidR="00FD35D1" w:rsidRPr="00FD35D1" w:rsidRDefault="00FD35D1" w:rsidP="00FD35D1">
            <w:pPr>
              <w:spacing w:after="0" w:line="240" w:lineRule="auto"/>
              <w:rPr>
                <w:rFonts w:eastAsia="Times New Roman" w:cs="Arial"/>
                <w:szCs w:val="36"/>
              </w:rPr>
            </w:pPr>
            <w:r w:rsidRPr="00FD35D1">
              <w:rPr>
                <w:rFonts w:eastAsia="Times New Roman" w:cs="Arial"/>
                <w:b/>
                <w:bCs/>
                <w:color w:val="FFFFFF" w:themeColor="light1"/>
                <w:kern w:val="24"/>
                <w:szCs w:val="28"/>
              </w:rPr>
              <w:t>Funding</w:t>
            </w:r>
          </w:p>
        </w:tc>
      </w:tr>
      <w:tr w:rsidR="00FD35D1" w:rsidRPr="00FD35D1" w14:paraId="5A3443A3" w14:textId="77777777" w:rsidTr="00FD35D1">
        <w:trPr>
          <w:trHeight w:val="606"/>
        </w:trPr>
        <w:tc>
          <w:tcPr>
            <w:tcW w:w="965" w:type="pct"/>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14:paraId="55BFC09D" w14:textId="77777777" w:rsidR="00FD35D1" w:rsidRPr="00FD35D1" w:rsidRDefault="00FD35D1" w:rsidP="00FD35D1">
            <w:pPr>
              <w:spacing w:after="0" w:line="240" w:lineRule="auto"/>
              <w:rPr>
                <w:rFonts w:eastAsia="Times New Roman" w:cs="Arial"/>
                <w:szCs w:val="36"/>
              </w:rPr>
            </w:pPr>
            <w:r w:rsidRPr="00FD35D1">
              <w:rPr>
                <w:rFonts w:eastAsia="Times New Roman" w:cs="Arial"/>
                <w:color w:val="000000" w:themeColor="text1"/>
                <w:kern w:val="24"/>
                <w:szCs w:val="24"/>
              </w:rPr>
              <w:t>Rapid Re-housing</w:t>
            </w:r>
          </w:p>
        </w:tc>
        <w:tc>
          <w:tcPr>
            <w:tcW w:w="3361" w:type="pct"/>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14:paraId="384D3D0C" w14:textId="77777777" w:rsidR="00FD35D1" w:rsidRPr="00FD35D1" w:rsidRDefault="00FD35D1" w:rsidP="00FD35D1">
            <w:pPr>
              <w:spacing w:after="0" w:line="240" w:lineRule="auto"/>
              <w:rPr>
                <w:rFonts w:eastAsia="Times New Roman" w:cs="Arial"/>
                <w:szCs w:val="36"/>
              </w:rPr>
            </w:pPr>
            <w:r w:rsidRPr="00FD35D1">
              <w:rPr>
                <w:rFonts w:eastAsia="Times New Roman" w:cs="Arial"/>
                <w:color w:val="000000" w:themeColor="text1"/>
                <w:kern w:val="24"/>
                <w:szCs w:val="24"/>
              </w:rPr>
              <w:t>Short- and Medium-term Rental Assistance, Financial Assistance</w:t>
            </w:r>
            <w:proofErr w:type="gramStart"/>
            <w:r w:rsidRPr="00FD35D1">
              <w:rPr>
                <w:rFonts w:eastAsia="Times New Roman" w:cs="Arial"/>
                <w:color w:val="000000" w:themeColor="text1"/>
                <w:kern w:val="24"/>
                <w:szCs w:val="24"/>
              </w:rPr>
              <w:t>,  Case</w:t>
            </w:r>
            <w:proofErr w:type="gramEnd"/>
            <w:r w:rsidRPr="00FD35D1">
              <w:rPr>
                <w:rFonts w:eastAsia="Times New Roman" w:cs="Arial"/>
                <w:color w:val="000000" w:themeColor="text1"/>
                <w:kern w:val="24"/>
                <w:szCs w:val="24"/>
              </w:rPr>
              <w:t xml:space="preserve"> Management/ Supportive Services (up to 24 months).  </w:t>
            </w:r>
          </w:p>
        </w:tc>
        <w:tc>
          <w:tcPr>
            <w:tcW w:w="674" w:type="pct"/>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14:paraId="062BD26D" w14:textId="77777777" w:rsidR="00FD35D1" w:rsidRPr="00FD35D1" w:rsidRDefault="00FD35D1" w:rsidP="00FD35D1">
            <w:pPr>
              <w:spacing w:after="0" w:line="240" w:lineRule="auto"/>
              <w:rPr>
                <w:rFonts w:eastAsia="Times New Roman" w:cs="Arial"/>
                <w:szCs w:val="36"/>
              </w:rPr>
            </w:pPr>
            <w:r w:rsidRPr="00FD35D1">
              <w:rPr>
                <w:rFonts w:eastAsia="Times New Roman" w:cs="Arial"/>
                <w:color w:val="000000" w:themeColor="text1"/>
                <w:kern w:val="24"/>
                <w:szCs w:val="24"/>
              </w:rPr>
              <w:t>ESG, HSP</w:t>
            </w:r>
          </w:p>
        </w:tc>
      </w:tr>
      <w:tr w:rsidR="00FD35D1" w:rsidRPr="00FD35D1" w14:paraId="30EB7833" w14:textId="77777777" w:rsidTr="00FD35D1">
        <w:trPr>
          <w:trHeight w:val="853"/>
        </w:trPr>
        <w:tc>
          <w:tcPr>
            <w:tcW w:w="965" w:type="pct"/>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14:paraId="2213AC38" w14:textId="2584953F" w:rsidR="00FD35D1" w:rsidRPr="00FD35D1" w:rsidRDefault="00FD35D1" w:rsidP="00FD35D1">
            <w:pPr>
              <w:spacing w:after="0" w:line="240" w:lineRule="auto"/>
              <w:rPr>
                <w:rFonts w:eastAsia="Times New Roman" w:cs="Arial"/>
                <w:szCs w:val="36"/>
              </w:rPr>
            </w:pPr>
            <w:r w:rsidRPr="00FD35D1">
              <w:rPr>
                <w:rFonts w:eastAsia="Times New Roman" w:cs="Arial"/>
                <w:color w:val="000000" w:themeColor="text1"/>
                <w:kern w:val="24"/>
                <w:szCs w:val="24"/>
              </w:rPr>
              <w:t>Street Outreach</w:t>
            </w:r>
          </w:p>
        </w:tc>
        <w:tc>
          <w:tcPr>
            <w:tcW w:w="3361" w:type="pct"/>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14:paraId="67C29850" w14:textId="23A1658C" w:rsidR="00FD35D1" w:rsidRPr="00FD35D1" w:rsidRDefault="00FD35D1" w:rsidP="00FD35D1">
            <w:pPr>
              <w:spacing w:after="0" w:line="240" w:lineRule="auto"/>
              <w:rPr>
                <w:rFonts w:eastAsia="Times New Roman" w:cs="Arial"/>
                <w:szCs w:val="36"/>
              </w:rPr>
            </w:pPr>
            <w:r w:rsidRPr="00FD35D1">
              <w:rPr>
                <w:rFonts w:eastAsia="Times New Roman" w:cs="Arial"/>
                <w:color w:val="000000" w:themeColor="text1"/>
                <w:kern w:val="24"/>
                <w:szCs w:val="24"/>
              </w:rPr>
              <w:t>Engagement, Case Management, Emergency Health Services, Emergency Mental Health Services, Transportation, Services to Special Populations.</w:t>
            </w:r>
          </w:p>
        </w:tc>
        <w:tc>
          <w:tcPr>
            <w:tcW w:w="674" w:type="pct"/>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14:paraId="2F5A2934" w14:textId="01C176DE" w:rsidR="00FD35D1" w:rsidRPr="00FD35D1" w:rsidRDefault="00FD35D1" w:rsidP="00FD35D1">
            <w:pPr>
              <w:spacing w:after="0" w:line="240" w:lineRule="auto"/>
              <w:rPr>
                <w:rFonts w:eastAsia="Times New Roman" w:cs="Arial"/>
                <w:szCs w:val="36"/>
              </w:rPr>
            </w:pPr>
            <w:r>
              <w:rPr>
                <w:rFonts w:eastAsia="Times New Roman" w:cs="Arial"/>
                <w:noProof/>
                <w:color w:val="000000" w:themeColor="text1"/>
                <w:kern w:val="24"/>
                <w:szCs w:val="24"/>
              </w:rPr>
              <mc:AlternateContent>
                <mc:Choice Requires="wps">
                  <w:drawing>
                    <wp:anchor distT="0" distB="0" distL="114300" distR="114300" simplePos="0" relativeHeight="251659264" behindDoc="0" locked="0" layoutInCell="1" allowOverlap="1" wp14:anchorId="09B15C12" wp14:editId="27096012">
                      <wp:simplePos x="0" y="0"/>
                      <wp:positionH relativeFrom="column">
                        <wp:posOffset>-90170</wp:posOffset>
                      </wp:positionH>
                      <wp:positionV relativeFrom="paragraph">
                        <wp:posOffset>541020</wp:posOffset>
                      </wp:positionV>
                      <wp:extent cx="723900" cy="533400"/>
                      <wp:effectExtent l="0" t="0" r="19050" b="19050"/>
                      <wp:wrapNone/>
                      <wp:docPr id="2" name="Oval 2"/>
                      <wp:cNvGraphicFramePr/>
                      <a:graphic xmlns:a="http://schemas.openxmlformats.org/drawingml/2006/main">
                        <a:graphicData uri="http://schemas.microsoft.com/office/word/2010/wordprocessingShape">
                          <wps:wsp>
                            <wps:cNvSpPr/>
                            <wps:spPr>
                              <a:xfrm>
                                <a:off x="0" y="0"/>
                                <a:ext cx="723900" cy="533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7.1pt;margin-top:42.6pt;width:57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" filled="f" strokecolor="red" strokeweight="2pt"/>
                  </w:pict>
                </mc:Fallback>
              </mc:AlternateContent>
            </w:r>
            <w:r w:rsidRPr="00FD35D1">
              <w:rPr>
                <w:rFonts w:eastAsia="Times New Roman" w:cs="Arial"/>
                <w:color w:val="000000" w:themeColor="text1"/>
                <w:kern w:val="24"/>
                <w:szCs w:val="24"/>
              </w:rPr>
              <w:t>ESG, HSP</w:t>
            </w:r>
          </w:p>
        </w:tc>
      </w:tr>
      <w:tr w:rsidR="00FD35D1" w:rsidRPr="00FD35D1" w14:paraId="62E52105" w14:textId="77777777" w:rsidTr="00FD35D1">
        <w:trPr>
          <w:trHeight w:val="880"/>
        </w:trPr>
        <w:tc>
          <w:tcPr>
            <w:tcW w:w="965" w:type="pct"/>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14:paraId="546EFADE" w14:textId="0E9AEAF0" w:rsidR="00FD35D1" w:rsidRPr="00FD35D1" w:rsidRDefault="00FD35D1" w:rsidP="00FD35D1">
            <w:pPr>
              <w:spacing w:after="0" w:line="240" w:lineRule="auto"/>
              <w:rPr>
                <w:rFonts w:eastAsia="Times New Roman" w:cs="Arial"/>
                <w:szCs w:val="36"/>
              </w:rPr>
            </w:pPr>
            <w:r w:rsidRPr="00FD35D1">
              <w:rPr>
                <w:rFonts w:eastAsia="Times New Roman" w:cs="Arial"/>
                <w:color w:val="000000" w:themeColor="text1"/>
                <w:kern w:val="24"/>
                <w:szCs w:val="24"/>
              </w:rPr>
              <w:t>Emergency Shelter</w:t>
            </w:r>
          </w:p>
        </w:tc>
        <w:tc>
          <w:tcPr>
            <w:tcW w:w="3361" w:type="pct"/>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14:paraId="409AF548" w14:textId="77777777" w:rsidR="00FD35D1" w:rsidRPr="00FD35D1" w:rsidRDefault="00FD35D1" w:rsidP="00FD35D1">
            <w:pPr>
              <w:spacing w:after="0" w:line="240" w:lineRule="auto"/>
              <w:rPr>
                <w:rFonts w:eastAsia="Times New Roman" w:cs="Arial"/>
                <w:szCs w:val="36"/>
              </w:rPr>
            </w:pPr>
            <w:r w:rsidRPr="00FD35D1">
              <w:rPr>
                <w:rFonts w:eastAsia="Times New Roman" w:cs="Arial"/>
                <w:color w:val="000000" w:themeColor="text1"/>
                <w:kern w:val="24"/>
                <w:szCs w:val="24"/>
              </w:rPr>
              <w:t xml:space="preserve">Daytime or Overnight Shelter Operations, Essential Services, Rehab and Renovations*, Supplies for Shelters, Vouchers/Checks for lodging, Food, Transportation, </w:t>
            </w:r>
          </w:p>
        </w:tc>
        <w:tc>
          <w:tcPr>
            <w:tcW w:w="674" w:type="pct"/>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14:paraId="13C0B4CF" w14:textId="77777777" w:rsidR="00FD35D1" w:rsidRPr="00FD35D1" w:rsidRDefault="00FD35D1" w:rsidP="00FD35D1">
            <w:pPr>
              <w:spacing w:after="0" w:line="240" w:lineRule="auto"/>
              <w:rPr>
                <w:rFonts w:eastAsia="Times New Roman" w:cs="Arial"/>
                <w:szCs w:val="36"/>
              </w:rPr>
            </w:pPr>
            <w:r w:rsidRPr="00FD35D1">
              <w:rPr>
                <w:rFonts w:eastAsia="Times New Roman" w:cs="Arial"/>
                <w:color w:val="000000" w:themeColor="text1"/>
                <w:kern w:val="24"/>
                <w:szCs w:val="24"/>
              </w:rPr>
              <w:t>ESG, HSP, DSS</w:t>
            </w:r>
          </w:p>
        </w:tc>
      </w:tr>
      <w:tr w:rsidR="00FD35D1" w:rsidRPr="00FD35D1" w14:paraId="307B1E57" w14:textId="77777777" w:rsidTr="00FD35D1">
        <w:trPr>
          <w:trHeight w:val="565"/>
        </w:trPr>
        <w:tc>
          <w:tcPr>
            <w:tcW w:w="965" w:type="pct"/>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14:paraId="0B30A306" w14:textId="77777777" w:rsidR="00FD35D1" w:rsidRPr="00FD35D1" w:rsidRDefault="00FD35D1" w:rsidP="00FD35D1">
            <w:pPr>
              <w:spacing w:after="0" w:line="240" w:lineRule="auto"/>
              <w:rPr>
                <w:rFonts w:eastAsia="Times New Roman" w:cs="Arial"/>
                <w:szCs w:val="36"/>
              </w:rPr>
            </w:pPr>
            <w:r w:rsidRPr="00FD35D1">
              <w:rPr>
                <w:rFonts w:eastAsia="Times New Roman" w:cs="Arial"/>
                <w:color w:val="000000" w:themeColor="text1"/>
                <w:kern w:val="24"/>
                <w:szCs w:val="24"/>
              </w:rPr>
              <w:t>Homeless Prevention</w:t>
            </w:r>
          </w:p>
        </w:tc>
        <w:tc>
          <w:tcPr>
            <w:tcW w:w="3361" w:type="pct"/>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14:paraId="63EAC75D" w14:textId="77777777" w:rsidR="00FD35D1" w:rsidRPr="00FD35D1" w:rsidRDefault="00FD35D1" w:rsidP="00FD35D1">
            <w:pPr>
              <w:spacing w:after="0" w:line="240" w:lineRule="auto"/>
              <w:rPr>
                <w:rFonts w:eastAsia="Times New Roman" w:cs="Arial"/>
                <w:szCs w:val="36"/>
              </w:rPr>
            </w:pPr>
            <w:r w:rsidRPr="00FD35D1">
              <w:rPr>
                <w:rFonts w:eastAsiaTheme="minorEastAsia"/>
                <w:color w:val="000000" w:themeColor="dark1"/>
                <w:kern w:val="24"/>
                <w:szCs w:val="24"/>
              </w:rPr>
              <w:t>Homeless Prevention (Eviction Prevention), Additional eligibility requirements*</w:t>
            </w:r>
          </w:p>
        </w:tc>
        <w:tc>
          <w:tcPr>
            <w:tcW w:w="674" w:type="pct"/>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14:paraId="40EF1EBD" w14:textId="77777777" w:rsidR="00FD35D1" w:rsidRPr="00FD35D1" w:rsidRDefault="00FD35D1" w:rsidP="00FD35D1">
            <w:pPr>
              <w:spacing w:after="0" w:line="240" w:lineRule="auto"/>
              <w:rPr>
                <w:rFonts w:eastAsia="Times New Roman" w:cs="Arial"/>
                <w:szCs w:val="36"/>
              </w:rPr>
            </w:pPr>
            <w:r w:rsidRPr="00FD35D1">
              <w:rPr>
                <w:rFonts w:eastAsia="Times New Roman" w:cs="Arial"/>
                <w:color w:val="000000" w:themeColor="text1"/>
                <w:kern w:val="24"/>
                <w:szCs w:val="24"/>
              </w:rPr>
              <w:t>ESG, HSP</w:t>
            </w:r>
          </w:p>
        </w:tc>
      </w:tr>
      <w:tr w:rsidR="00FD35D1" w:rsidRPr="00FD35D1" w14:paraId="5145CA9D" w14:textId="77777777" w:rsidTr="00FD35D1">
        <w:trPr>
          <w:trHeight w:val="1636"/>
        </w:trPr>
        <w:tc>
          <w:tcPr>
            <w:tcW w:w="965" w:type="pct"/>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14:paraId="7E47B5BC" w14:textId="77777777" w:rsidR="00FD35D1" w:rsidRPr="00FD35D1" w:rsidRDefault="00FD35D1" w:rsidP="00FD35D1">
            <w:pPr>
              <w:spacing w:after="0" w:line="240" w:lineRule="auto"/>
              <w:rPr>
                <w:rFonts w:eastAsia="Times New Roman" w:cs="Arial"/>
                <w:szCs w:val="36"/>
              </w:rPr>
            </w:pPr>
            <w:r w:rsidRPr="00FD35D1">
              <w:rPr>
                <w:rFonts w:eastAsia="Times New Roman" w:cs="Arial"/>
                <w:color w:val="000000" w:themeColor="text1"/>
                <w:kern w:val="24"/>
                <w:szCs w:val="24"/>
              </w:rPr>
              <w:t>Housing &amp; Services for People living with HIV and AIDS</w:t>
            </w:r>
          </w:p>
        </w:tc>
        <w:tc>
          <w:tcPr>
            <w:tcW w:w="3361" w:type="pct"/>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14:paraId="2013EE1A" w14:textId="77777777" w:rsidR="00FD35D1" w:rsidRPr="00FD35D1" w:rsidRDefault="00FD35D1" w:rsidP="00FD35D1">
            <w:pPr>
              <w:spacing w:after="0" w:line="240" w:lineRule="auto"/>
              <w:rPr>
                <w:rFonts w:eastAsia="Times New Roman" w:cs="Arial"/>
                <w:szCs w:val="36"/>
              </w:rPr>
            </w:pPr>
            <w:r w:rsidRPr="00FD35D1">
              <w:rPr>
                <w:rFonts w:eastAsiaTheme="minorEastAsia"/>
                <w:color w:val="000000" w:themeColor="dark1"/>
                <w:kern w:val="24"/>
                <w:szCs w:val="24"/>
              </w:rPr>
              <w:t xml:space="preserve">Eviction Prevention, Supportive Services, and Permanent Housing Placement Services </w:t>
            </w:r>
          </w:p>
          <w:p w14:paraId="37A21837" w14:textId="77777777" w:rsidR="00FD35D1" w:rsidRPr="00FD35D1" w:rsidRDefault="00FD35D1" w:rsidP="00FD35D1">
            <w:pPr>
              <w:spacing w:after="0" w:line="240" w:lineRule="auto"/>
              <w:rPr>
                <w:rFonts w:eastAsia="Times New Roman" w:cs="Arial"/>
                <w:szCs w:val="36"/>
              </w:rPr>
            </w:pPr>
            <w:r w:rsidRPr="00FD35D1">
              <w:rPr>
                <w:rFonts w:eastAsiaTheme="minorEastAsia"/>
                <w:color w:val="000000" w:themeColor="dark1"/>
                <w:kern w:val="24"/>
                <w:szCs w:val="24"/>
              </w:rPr>
              <w:t xml:space="preserve">Food, Home and Community-Based Health Services, </w:t>
            </w:r>
            <w:r w:rsidRPr="00FD35D1">
              <w:rPr>
                <w:rFonts w:eastAsia="Times New Roman" w:cs="Arial"/>
                <w:color w:val="000000" w:themeColor="text1"/>
                <w:kern w:val="24"/>
                <w:szCs w:val="24"/>
              </w:rPr>
              <w:t xml:space="preserve">Short- and Medium-term Rental Assistance, Interpretation and Translation Services, Medical and </w:t>
            </w:r>
            <w:proofErr w:type="spellStart"/>
            <w:r w:rsidRPr="00FD35D1">
              <w:rPr>
                <w:rFonts w:eastAsia="Times New Roman" w:cs="Arial"/>
                <w:color w:val="000000" w:themeColor="text1"/>
                <w:kern w:val="24"/>
                <w:szCs w:val="24"/>
              </w:rPr>
              <w:t>Non Medical</w:t>
            </w:r>
            <w:proofErr w:type="spellEnd"/>
            <w:r w:rsidRPr="00FD35D1">
              <w:rPr>
                <w:rFonts w:eastAsia="Times New Roman" w:cs="Arial"/>
                <w:color w:val="000000" w:themeColor="text1"/>
                <w:kern w:val="24"/>
                <w:szCs w:val="24"/>
              </w:rPr>
              <w:t xml:space="preserve"> Case Management, Transportation, Outpatient Services</w:t>
            </w:r>
          </w:p>
        </w:tc>
        <w:tc>
          <w:tcPr>
            <w:tcW w:w="674" w:type="pct"/>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14:paraId="6087B55E" w14:textId="77777777" w:rsidR="00FD35D1" w:rsidRPr="00FD35D1" w:rsidRDefault="00FD35D1" w:rsidP="00FD35D1">
            <w:pPr>
              <w:spacing w:after="0" w:line="240" w:lineRule="auto"/>
              <w:rPr>
                <w:rFonts w:eastAsia="Times New Roman" w:cs="Arial"/>
                <w:szCs w:val="36"/>
              </w:rPr>
            </w:pPr>
            <w:r w:rsidRPr="00FD35D1">
              <w:rPr>
                <w:rFonts w:eastAsia="Times New Roman" w:cs="Arial"/>
                <w:color w:val="000000" w:themeColor="text1"/>
                <w:kern w:val="24"/>
                <w:szCs w:val="24"/>
              </w:rPr>
              <w:t>HOPWA, SSF</w:t>
            </w:r>
          </w:p>
        </w:tc>
      </w:tr>
      <w:tr w:rsidR="00FD35D1" w:rsidRPr="00FD35D1" w14:paraId="35723051" w14:textId="77777777" w:rsidTr="00FD35D1">
        <w:trPr>
          <w:trHeight w:val="826"/>
        </w:trPr>
        <w:tc>
          <w:tcPr>
            <w:tcW w:w="965" w:type="pct"/>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14:paraId="7D7ABF59" w14:textId="77777777" w:rsidR="00FD35D1" w:rsidRPr="00FD35D1" w:rsidRDefault="00FD35D1" w:rsidP="00FD35D1">
            <w:pPr>
              <w:spacing w:after="0" w:line="240" w:lineRule="auto"/>
              <w:rPr>
                <w:rFonts w:eastAsia="Times New Roman" w:cs="Arial"/>
                <w:szCs w:val="36"/>
              </w:rPr>
            </w:pPr>
            <w:r w:rsidRPr="00FD35D1">
              <w:rPr>
                <w:rFonts w:eastAsia="Times New Roman" w:cs="Arial"/>
                <w:color w:val="000000" w:themeColor="text1"/>
                <w:kern w:val="24"/>
                <w:szCs w:val="24"/>
              </w:rPr>
              <w:t xml:space="preserve">Permanent Supportive Housing </w:t>
            </w:r>
          </w:p>
        </w:tc>
        <w:tc>
          <w:tcPr>
            <w:tcW w:w="3361" w:type="pct"/>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14:paraId="690BC31F" w14:textId="77777777" w:rsidR="00FD35D1" w:rsidRPr="00FD35D1" w:rsidRDefault="00FD35D1" w:rsidP="00FD35D1">
            <w:pPr>
              <w:spacing w:after="0" w:line="240" w:lineRule="auto"/>
              <w:rPr>
                <w:rFonts w:eastAsia="Times New Roman" w:cs="Arial"/>
                <w:szCs w:val="36"/>
              </w:rPr>
            </w:pPr>
            <w:r w:rsidRPr="00FD35D1">
              <w:rPr>
                <w:rFonts w:eastAsia="Times New Roman" w:cs="Arial"/>
                <w:color w:val="000000" w:themeColor="text1"/>
                <w:kern w:val="24"/>
                <w:szCs w:val="24"/>
              </w:rPr>
              <w:t>Only accepting renewals from existing projects seeking to renew funding in FY2021.</w:t>
            </w:r>
          </w:p>
        </w:tc>
        <w:tc>
          <w:tcPr>
            <w:tcW w:w="674" w:type="pct"/>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14:paraId="03497DF7" w14:textId="77777777" w:rsidR="00FD35D1" w:rsidRPr="00FD35D1" w:rsidRDefault="00FD35D1" w:rsidP="00FD35D1">
            <w:pPr>
              <w:spacing w:after="0" w:line="240" w:lineRule="auto"/>
              <w:rPr>
                <w:rFonts w:eastAsia="Times New Roman" w:cs="Arial"/>
                <w:szCs w:val="36"/>
              </w:rPr>
            </w:pPr>
            <w:r w:rsidRPr="00FD35D1">
              <w:rPr>
                <w:rFonts w:eastAsia="Times New Roman" w:cs="Arial"/>
                <w:color w:val="000000" w:themeColor="text1"/>
                <w:kern w:val="24"/>
                <w:szCs w:val="24"/>
              </w:rPr>
              <w:t>HSP</w:t>
            </w:r>
          </w:p>
        </w:tc>
      </w:tr>
      <w:tr w:rsidR="00FD35D1" w:rsidRPr="00FD35D1" w14:paraId="161EA99C" w14:textId="77777777" w:rsidTr="00FD35D1">
        <w:trPr>
          <w:trHeight w:val="610"/>
        </w:trPr>
        <w:tc>
          <w:tcPr>
            <w:tcW w:w="965" w:type="pct"/>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14:paraId="78B4671F" w14:textId="77777777" w:rsidR="00FD35D1" w:rsidRPr="00FD35D1" w:rsidRDefault="00FD35D1" w:rsidP="00FD35D1">
            <w:pPr>
              <w:spacing w:after="0" w:line="240" w:lineRule="auto"/>
              <w:rPr>
                <w:rFonts w:eastAsia="Times New Roman" w:cs="Arial"/>
                <w:szCs w:val="36"/>
              </w:rPr>
            </w:pPr>
            <w:r w:rsidRPr="00FD35D1">
              <w:rPr>
                <w:rFonts w:eastAsia="Times New Roman" w:cs="Arial"/>
                <w:color w:val="000000" w:themeColor="text1"/>
                <w:kern w:val="24"/>
                <w:szCs w:val="24"/>
              </w:rPr>
              <w:t>Transitional Housing (Special Populations)</w:t>
            </w:r>
          </w:p>
        </w:tc>
        <w:tc>
          <w:tcPr>
            <w:tcW w:w="3361" w:type="pct"/>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14:paraId="3BE4FCFC" w14:textId="77777777" w:rsidR="00FD35D1" w:rsidRPr="00FD35D1" w:rsidRDefault="00FD35D1" w:rsidP="00FD35D1">
            <w:pPr>
              <w:spacing w:after="0" w:line="240" w:lineRule="auto"/>
              <w:rPr>
                <w:rFonts w:eastAsia="Times New Roman" w:cs="Arial"/>
                <w:szCs w:val="36"/>
              </w:rPr>
            </w:pPr>
            <w:r w:rsidRPr="00FD35D1">
              <w:rPr>
                <w:rFonts w:eastAsia="Times New Roman" w:cs="Arial"/>
                <w:color w:val="000000" w:themeColor="text1"/>
                <w:kern w:val="24"/>
                <w:szCs w:val="24"/>
              </w:rPr>
              <w:t>Only accepting renewals from existing projects seeking to renew funding in FY2021.</w:t>
            </w:r>
          </w:p>
        </w:tc>
        <w:tc>
          <w:tcPr>
            <w:tcW w:w="674" w:type="pct"/>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14:paraId="5ACA189A" w14:textId="77777777" w:rsidR="00FD35D1" w:rsidRPr="00FD35D1" w:rsidRDefault="00FD35D1" w:rsidP="00FD35D1">
            <w:pPr>
              <w:spacing w:after="0" w:line="240" w:lineRule="auto"/>
              <w:rPr>
                <w:rFonts w:eastAsia="Times New Roman" w:cs="Arial"/>
                <w:szCs w:val="36"/>
              </w:rPr>
            </w:pPr>
            <w:r w:rsidRPr="00FD35D1">
              <w:rPr>
                <w:rFonts w:eastAsia="Times New Roman" w:cs="Arial"/>
                <w:color w:val="000000" w:themeColor="text1"/>
                <w:kern w:val="24"/>
                <w:szCs w:val="24"/>
              </w:rPr>
              <w:t>HSP</w:t>
            </w:r>
          </w:p>
        </w:tc>
      </w:tr>
    </w:tbl>
    <w:p w14:paraId="5D61EC9C" w14:textId="77777777" w:rsidR="00FD35D1" w:rsidRDefault="00FD35D1" w:rsidP="00FD35D1">
      <w:pPr>
        <w:pStyle w:val="ListParagraph"/>
      </w:pPr>
    </w:p>
    <w:p w14:paraId="20559402" w14:textId="1EE47A51" w:rsidR="00315162" w:rsidRDefault="00315162">
      <w:r>
        <w:br w:type="page"/>
      </w:r>
    </w:p>
    <w:p w14:paraId="3E353929" w14:textId="77777777" w:rsidR="00FD35D1" w:rsidRPr="003B1D58" w:rsidRDefault="00FD35D1" w:rsidP="00FD35D1">
      <w:pPr>
        <w:pStyle w:val="ListParagraph"/>
      </w:pPr>
    </w:p>
    <w:p w14:paraId="0E729B1C" w14:textId="6DCCF784" w:rsidR="004477C8" w:rsidRPr="004477C8" w:rsidRDefault="00315162" w:rsidP="004477C8">
      <w:pPr>
        <w:pStyle w:val="ListParagraph"/>
        <w:numPr>
          <w:ilvl w:val="0"/>
          <w:numId w:val="2"/>
        </w:numPr>
        <w:rPr>
          <w:b/>
        </w:rPr>
      </w:pPr>
      <w:r>
        <w:rPr>
          <w:b/>
        </w:rPr>
        <w:t>What is an A-133 Form?</w:t>
      </w:r>
    </w:p>
    <w:p w14:paraId="359ECA80" w14:textId="77777777" w:rsidR="00BE52C0" w:rsidRDefault="004477C8" w:rsidP="00BE52C0">
      <w:pPr>
        <w:pStyle w:val="NormalWeb"/>
        <w:ind w:left="720"/>
        <w:rPr>
          <w:rFonts w:asciiTheme="minorHAnsi" w:hAnsiTheme="minorHAnsi"/>
        </w:rPr>
      </w:pPr>
      <w:r w:rsidRPr="00315162">
        <w:rPr>
          <w:rFonts w:asciiTheme="minorHAnsi" w:hAnsiTheme="minorHAnsi"/>
        </w:rPr>
        <w:t>A</w:t>
      </w:r>
      <w:r w:rsidR="003B1D58" w:rsidRPr="00315162">
        <w:rPr>
          <w:rFonts w:asciiTheme="minorHAnsi" w:hAnsiTheme="minorHAnsi"/>
        </w:rPr>
        <w:t>nswer</w:t>
      </w:r>
      <w:r w:rsidRPr="00315162">
        <w:rPr>
          <w:rFonts w:asciiTheme="minorHAnsi" w:hAnsiTheme="minorHAnsi"/>
        </w:rPr>
        <w:t xml:space="preserve">: </w:t>
      </w:r>
      <w:r w:rsidR="00315162" w:rsidRPr="00315162">
        <w:rPr>
          <w:rFonts w:asciiTheme="minorHAnsi" w:hAnsiTheme="minorHAnsi"/>
        </w:rPr>
        <w:t xml:space="preserve">An A-133 Form is also known as a Single Audit Form and </w:t>
      </w:r>
      <w:r w:rsidR="00315162">
        <w:rPr>
          <w:rFonts w:asciiTheme="minorHAnsi" w:hAnsiTheme="minorHAnsi"/>
        </w:rPr>
        <w:t xml:space="preserve">must be </w:t>
      </w:r>
      <w:r w:rsidR="00315162" w:rsidRPr="00315162">
        <w:rPr>
          <w:rFonts w:asciiTheme="minorHAnsi" w:hAnsiTheme="minorHAnsi"/>
        </w:rPr>
        <w:t>performed by an independent certified public accountant (CPA), a</w:t>
      </w:r>
      <w:r w:rsidR="00315162">
        <w:rPr>
          <w:rFonts w:asciiTheme="minorHAnsi" w:hAnsiTheme="minorHAnsi"/>
        </w:rPr>
        <w:t xml:space="preserve">nd must be filed electronically. </w:t>
      </w:r>
    </w:p>
    <w:p w14:paraId="6D0ADBE7" w14:textId="77777777" w:rsidR="00290F87" w:rsidRPr="003A205B" w:rsidRDefault="00290F87" w:rsidP="00290F87">
      <w:pPr>
        <w:pStyle w:val="ListParagraph"/>
        <w:numPr>
          <w:ilvl w:val="0"/>
          <w:numId w:val="2"/>
        </w:numPr>
        <w:rPr>
          <w:rFonts w:eastAsia="Times New Roman"/>
          <w:b/>
        </w:rPr>
      </w:pPr>
      <w:r>
        <w:rPr>
          <w:rFonts w:eastAsia="Times New Roman"/>
          <w:b/>
        </w:rPr>
        <w:t xml:space="preserve">What if your organization does not have an A-133 audit due to never receiving Federal Funds? </w:t>
      </w:r>
    </w:p>
    <w:p w14:paraId="2D3889CA" w14:textId="10DEE8D8" w:rsidR="00290F87" w:rsidRPr="00290F87" w:rsidRDefault="00290F87" w:rsidP="00290F87">
      <w:pPr>
        <w:autoSpaceDE w:val="0"/>
        <w:autoSpaceDN w:val="0"/>
        <w:adjustRightInd w:val="0"/>
        <w:spacing w:before="120" w:after="0" w:line="240" w:lineRule="auto"/>
        <w:ind w:left="720"/>
        <w:rPr>
          <w:rFonts w:ascii="Calibri" w:hAnsi="Calibri"/>
          <w:color w:val="000000"/>
        </w:rPr>
      </w:pPr>
      <w:r w:rsidRPr="003B1D58">
        <w:t>Answer:</w:t>
      </w:r>
      <w:r>
        <w:t xml:space="preserve"> To be eligible to apply an agency m</w:t>
      </w:r>
      <w:r>
        <w:rPr>
          <w:rFonts w:ascii="Calibri" w:hAnsi="Calibri"/>
          <w:color w:val="000000"/>
        </w:rPr>
        <w:t xml:space="preserve">ust submit their most recent A-133 </w:t>
      </w:r>
      <w:r w:rsidRPr="000B6C35">
        <w:rPr>
          <w:rFonts w:ascii="Calibri" w:hAnsi="Calibri"/>
          <w:color w:val="000000"/>
          <w:u w:val="single"/>
        </w:rPr>
        <w:t xml:space="preserve">or </w:t>
      </w:r>
      <w:r>
        <w:rPr>
          <w:rFonts w:ascii="Calibri" w:hAnsi="Calibri"/>
          <w:color w:val="000000"/>
        </w:rPr>
        <w:t>independent financial audits (renewal projects that do not have independent audits may submit two most recent years of accountant-prepared financial statements).</w:t>
      </w:r>
    </w:p>
    <w:p w14:paraId="0E804126" w14:textId="0CC2D6A1" w:rsidR="004477C8" w:rsidRPr="00BE52C0" w:rsidRDefault="00BE52C0" w:rsidP="00BE52C0">
      <w:pPr>
        <w:pStyle w:val="NormalWeb"/>
        <w:numPr>
          <w:ilvl w:val="0"/>
          <w:numId w:val="2"/>
        </w:numPr>
        <w:rPr>
          <w:rFonts w:asciiTheme="minorHAnsi" w:hAnsiTheme="minorHAnsi"/>
          <w:sz w:val="22"/>
        </w:rPr>
      </w:pPr>
      <w:r w:rsidRPr="00BE52C0">
        <w:rPr>
          <w:rFonts w:asciiTheme="minorHAnsi" w:hAnsiTheme="minorHAnsi"/>
          <w:b/>
          <w:sz w:val="22"/>
        </w:rPr>
        <w:t xml:space="preserve">Where should </w:t>
      </w:r>
      <w:r>
        <w:rPr>
          <w:rFonts w:asciiTheme="minorHAnsi" w:hAnsiTheme="minorHAnsi"/>
          <w:b/>
          <w:sz w:val="22"/>
        </w:rPr>
        <w:t xml:space="preserve">we turn in our </w:t>
      </w:r>
      <w:r w:rsidRPr="00BE52C0">
        <w:rPr>
          <w:rFonts w:asciiTheme="minorHAnsi" w:hAnsiTheme="minorHAnsi"/>
          <w:b/>
          <w:sz w:val="22"/>
        </w:rPr>
        <w:t>applications?</w:t>
      </w:r>
    </w:p>
    <w:p w14:paraId="406853D1" w14:textId="62F48F6F" w:rsidR="006A2B2E" w:rsidRDefault="006A2B2E" w:rsidP="00BE52C0">
      <w:pPr>
        <w:ind w:left="720"/>
        <w:rPr>
          <w:rFonts w:cs="Arial"/>
          <w:iCs/>
          <w:color w:val="000000"/>
        </w:rPr>
      </w:pPr>
      <w:r w:rsidRPr="003B1D58">
        <w:t>A</w:t>
      </w:r>
      <w:r w:rsidR="003B1D58" w:rsidRPr="003B1D58">
        <w:t>nswer</w:t>
      </w:r>
      <w:r w:rsidRPr="003B1D58">
        <w:t xml:space="preserve">: </w:t>
      </w:r>
      <w:r w:rsidR="00BE52C0">
        <w:t xml:space="preserve">Completed applications (application, budget, and supporting documents) are required to be submitted electronically to the following e-mail address: </w:t>
      </w:r>
      <w:hyperlink r:id="rId11" w:history="1">
        <w:r w:rsidR="00BE52C0" w:rsidRPr="00BE52C0">
          <w:rPr>
            <w:rStyle w:val="Hyperlink"/>
            <w:rFonts w:cs="Arial"/>
            <w:iCs/>
            <w:color w:val="1155CC"/>
          </w:rPr>
          <w:t>mohs.hsp.application@baltimorecity.gov</w:t>
        </w:r>
      </w:hyperlink>
      <w:r w:rsidR="00BE52C0" w:rsidRPr="00BE52C0">
        <w:rPr>
          <w:rFonts w:cs="Arial"/>
          <w:iCs/>
          <w:color w:val="000000"/>
        </w:rPr>
        <w:t>.</w:t>
      </w:r>
    </w:p>
    <w:p w14:paraId="5B2F72E9" w14:textId="29B0A479" w:rsidR="00BE52C0" w:rsidRDefault="00BE52C0" w:rsidP="00BE52C0">
      <w:pPr>
        <w:pStyle w:val="ListParagraph"/>
      </w:pPr>
      <w:r>
        <w:rPr>
          <w:rFonts w:cs="Arial"/>
          <w:iCs/>
          <w:color w:val="000000"/>
        </w:rPr>
        <w:t xml:space="preserve">Applications are due by </w:t>
      </w:r>
      <w:r w:rsidRPr="00290F87">
        <w:rPr>
          <w:rFonts w:cs="Arial"/>
          <w:iCs/>
          <w:color w:val="000000"/>
          <w:u w:val="single"/>
        </w:rPr>
        <w:t>Wednesday, March 25 at 12pm</w:t>
      </w:r>
      <w:r>
        <w:rPr>
          <w:rFonts w:cs="Arial"/>
          <w:iCs/>
          <w:color w:val="000000"/>
        </w:rPr>
        <w:t xml:space="preserve">. Please note that detailed instructions can be found in the </w:t>
      </w:r>
      <w:r>
        <w:t xml:space="preserve">guidance in the FY 2021 CFA Request for Proposals.  </w:t>
      </w:r>
    </w:p>
    <w:p w14:paraId="78A28275" w14:textId="77777777" w:rsidR="00BE52C0" w:rsidRPr="00CA09D6" w:rsidRDefault="00BE52C0" w:rsidP="00BE52C0">
      <w:pPr>
        <w:pStyle w:val="ListParagraph"/>
      </w:pPr>
    </w:p>
    <w:p w14:paraId="7D6448A5" w14:textId="68910890" w:rsidR="006A2B2E" w:rsidRPr="006A2B2E" w:rsidRDefault="00BE52C0" w:rsidP="006A2B2E">
      <w:pPr>
        <w:pStyle w:val="ListParagraph"/>
        <w:numPr>
          <w:ilvl w:val="0"/>
          <w:numId w:val="2"/>
        </w:numPr>
        <w:rPr>
          <w:b/>
        </w:rPr>
      </w:pPr>
      <w:r>
        <w:rPr>
          <w:b/>
        </w:rPr>
        <w:t>For new projects will there be additional support or technical assistance in writing and completing the budget templates?</w:t>
      </w:r>
      <w:r>
        <w:rPr>
          <w:b/>
        </w:rPr>
        <w:tab/>
      </w:r>
    </w:p>
    <w:p w14:paraId="3A3BDBE9" w14:textId="06942AE5" w:rsidR="00BE52C0" w:rsidRPr="003B1D58" w:rsidRDefault="006A2B2E" w:rsidP="00290F87">
      <w:pPr>
        <w:ind w:left="720"/>
      </w:pPr>
      <w:r w:rsidRPr="003B1D58">
        <w:t>A</w:t>
      </w:r>
      <w:r w:rsidR="003B1D58" w:rsidRPr="003B1D58">
        <w:t>nswer</w:t>
      </w:r>
      <w:r w:rsidRPr="003B1D58">
        <w:t xml:space="preserve">: The Mayor’s Office of Homeless Services is </w:t>
      </w:r>
      <w:r w:rsidR="00BE52C0">
        <w:t xml:space="preserve">hosting a Provider Fair on March 16. Agencies interested in applying for the CFA or learning more about funding opportunities should register for the event. </w:t>
      </w:r>
      <w:r w:rsidR="00290F87">
        <w:rPr>
          <w:rFonts w:cs="Arial"/>
          <w:iCs/>
          <w:color w:val="000000"/>
        </w:rPr>
        <w:t>The Mayor’s Office of Homeless Services cannot provide writing assistance on developing a project proposal.</w:t>
      </w:r>
      <w:r w:rsidR="00290F87">
        <w:t xml:space="preserve"> </w:t>
      </w:r>
      <w:r w:rsidR="00BE52C0">
        <w:t>Any questions d</w:t>
      </w:r>
      <w:r w:rsidR="00290F87">
        <w:t>irectly related to completing the</w:t>
      </w:r>
      <w:r w:rsidR="00BE52C0">
        <w:t xml:space="preserve"> application or budget can be directed to </w:t>
      </w:r>
      <w:hyperlink r:id="rId12" w:history="1">
        <w:r w:rsidR="00BE52C0" w:rsidRPr="00BE52C0">
          <w:rPr>
            <w:rStyle w:val="Hyperlink"/>
            <w:rFonts w:cs="Arial"/>
            <w:iCs/>
            <w:color w:val="1155CC"/>
          </w:rPr>
          <w:t>mohs.hsp.application@baltimorecity.gov</w:t>
        </w:r>
      </w:hyperlink>
      <w:r w:rsidR="00BE52C0" w:rsidRPr="00BE52C0">
        <w:rPr>
          <w:rFonts w:cs="Arial"/>
          <w:iCs/>
          <w:color w:val="000000"/>
        </w:rPr>
        <w:t>.</w:t>
      </w:r>
      <w:r w:rsidR="00290F87">
        <w:rPr>
          <w:rFonts w:cs="Arial"/>
          <w:iCs/>
          <w:color w:val="000000"/>
        </w:rPr>
        <w:t xml:space="preserve"> </w:t>
      </w:r>
    </w:p>
    <w:p w14:paraId="667D93CA" w14:textId="7638FF72" w:rsidR="004477C8" w:rsidRDefault="00BE52C0" w:rsidP="006A2B2E">
      <w:pPr>
        <w:pStyle w:val="ListParagraph"/>
        <w:numPr>
          <w:ilvl w:val="0"/>
          <w:numId w:val="2"/>
        </w:numPr>
        <w:rPr>
          <w:b/>
        </w:rPr>
      </w:pPr>
      <w:r>
        <w:rPr>
          <w:b/>
        </w:rPr>
        <w:t>Does a project that provides free, adult education for ESL and GED seekers qualify for funding?</w:t>
      </w:r>
    </w:p>
    <w:p w14:paraId="7A9B8C4A" w14:textId="07C0C245" w:rsidR="00BE52C0" w:rsidRPr="003B1D58" w:rsidRDefault="006A2B2E" w:rsidP="00BE52C0">
      <w:pPr>
        <w:ind w:left="720"/>
        <w:rPr>
          <w:rFonts w:ascii="Calibri" w:hAnsi="Calibri"/>
        </w:rPr>
      </w:pPr>
      <w:r w:rsidRPr="003B1D58">
        <w:t>A</w:t>
      </w:r>
      <w:r w:rsidR="003B1D58" w:rsidRPr="003B1D58">
        <w:t>nswer</w:t>
      </w:r>
      <w:r w:rsidRPr="003B1D58">
        <w:t>:</w:t>
      </w:r>
      <w:r w:rsidR="003B1D58">
        <w:t xml:space="preserve"> </w:t>
      </w:r>
      <w:r w:rsidR="00BE52C0">
        <w:t xml:space="preserve">Individual projects that provide education services only will not qualify </w:t>
      </w:r>
      <w:r w:rsidR="004B0D48">
        <w:t>for funding.</w:t>
      </w:r>
      <w:r w:rsidR="00BE52C0">
        <w:t xml:space="preserve"> </w:t>
      </w:r>
      <w:r w:rsidR="004B0D48">
        <w:t xml:space="preserve">However, educational services may be an eligible expense under Emergency Shelter or Rapid Re-housing. </w:t>
      </w:r>
    </w:p>
    <w:p w14:paraId="06ECD617" w14:textId="1726E175" w:rsidR="00CE3C7C" w:rsidRDefault="00CE3C7C">
      <w:pPr>
        <w:rPr>
          <w:rFonts w:ascii="Calibri" w:hAnsi="Calibri" w:cs="Times New Roman"/>
        </w:rPr>
      </w:pPr>
      <w:r>
        <w:rPr>
          <w:rFonts w:ascii="Calibri" w:hAnsi="Calibri"/>
        </w:rPr>
        <w:br w:type="page"/>
      </w:r>
    </w:p>
    <w:p w14:paraId="49A3F203" w14:textId="77777777" w:rsidR="003B1D58" w:rsidRPr="003B1D58" w:rsidRDefault="003B1D58" w:rsidP="003B1D58">
      <w:pPr>
        <w:pStyle w:val="Default"/>
        <w:spacing w:line="276" w:lineRule="auto"/>
        <w:ind w:left="360"/>
        <w:rPr>
          <w:rFonts w:ascii="Calibri" w:hAnsi="Calibri"/>
          <w:color w:val="auto"/>
          <w:sz w:val="22"/>
          <w:szCs w:val="22"/>
        </w:rPr>
      </w:pPr>
    </w:p>
    <w:p w14:paraId="11D785D9" w14:textId="689D122A" w:rsidR="006A2B2E" w:rsidRDefault="006A2B2E" w:rsidP="00042A45">
      <w:pPr>
        <w:pStyle w:val="Default"/>
        <w:numPr>
          <w:ilvl w:val="0"/>
          <w:numId w:val="2"/>
        </w:numPr>
        <w:tabs>
          <w:tab w:val="left" w:pos="630"/>
        </w:tabs>
        <w:spacing w:line="276" w:lineRule="auto"/>
        <w:rPr>
          <w:rFonts w:ascii="Calibri" w:hAnsi="Calibri"/>
          <w:b/>
          <w:color w:val="auto"/>
          <w:sz w:val="22"/>
          <w:szCs w:val="22"/>
        </w:rPr>
      </w:pPr>
      <w:r>
        <w:rPr>
          <w:rFonts w:ascii="Calibri" w:hAnsi="Calibri"/>
          <w:b/>
          <w:color w:val="auto"/>
          <w:sz w:val="22"/>
          <w:szCs w:val="22"/>
        </w:rPr>
        <w:t xml:space="preserve">What </w:t>
      </w:r>
      <w:r w:rsidR="00CE3C7C">
        <w:rPr>
          <w:rFonts w:ascii="Calibri" w:hAnsi="Calibri"/>
          <w:b/>
          <w:color w:val="auto"/>
          <w:sz w:val="22"/>
          <w:szCs w:val="22"/>
        </w:rPr>
        <w:t xml:space="preserve">insurance is required to apply? </w:t>
      </w:r>
    </w:p>
    <w:p w14:paraId="1F2E1110" w14:textId="77777777" w:rsidR="0061341B" w:rsidRPr="008424A1" w:rsidRDefault="0061341B" w:rsidP="0061341B">
      <w:pPr>
        <w:pStyle w:val="Default"/>
        <w:spacing w:line="276" w:lineRule="auto"/>
        <w:ind w:left="720"/>
        <w:rPr>
          <w:rFonts w:ascii="Calibri" w:hAnsi="Calibri"/>
          <w:b/>
          <w:color w:val="auto"/>
          <w:sz w:val="22"/>
          <w:szCs w:val="22"/>
        </w:rPr>
      </w:pPr>
    </w:p>
    <w:p w14:paraId="1EE2F804" w14:textId="5114E11E" w:rsidR="00CE3C7C" w:rsidRPr="00CE3C7C" w:rsidRDefault="006A2B2E" w:rsidP="00CE3C7C">
      <w:pPr>
        <w:ind w:left="720"/>
      </w:pPr>
      <w:r w:rsidRPr="003B1D58">
        <w:t>A</w:t>
      </w:r>
      <w:r w:rsidR="003B1D58" w:rsidRPr="003B1D58">
        <w:t>nswer</w:t>
      </w:r>
      <w:r w:rsidRPr="003B1D58">
        <w:t xml:space="preserve">: </w:t>
      </w:r>
      <w:r w:rsidR="00CE3C7C">
        <w:t xml:space="preserve"> </w:t>
      </w:r>
      <w:r w:rsidR="00CE3C7C" w:rsidRPr="00696847">
        <w:rPr>
          <w:rFonts w:ascii="Calibri" w:hAnsi="Calibri"/>
        </w:rPr>
        <w:t>The selected organization must currently carry or be willing to obtain the following insurance coverage as part of the project:</w:t>
      </w:r>
    </w:p>
    <w:p w14:paraId="04517378" w14:textId="77777777" w:rsidR="00CE3C7C" w:rsidRPr="00696847" w:rsidRDefault="00CE3C7C" w:rsidP="00CE3C7C">
      <w:pPr>
        <w:pStyle w:val="ListParagraph"/>
        <w:widowControl w:val="0"/>
        <w:numPr>
          <w:ilvl w:val="0"/>
          <w:numId w:val="9"/>
        </w:numPr>
        <w:spacing w:after="0" w:line="240" w:lineRule="auto"/>
        <w:ind w:left="1440"/>
        <w:contextualSpacing w:val="0"/>
        <w:rPr>
          <w:rFonts w:ascii="Calibri" w:hAnsi="Calibri"/>
        </w:rPr>
      </w:pPr>
      <w:r w:rsidRPr="00696847">
        <w:rPr>
          <w:rFonts w:ascii="Calibri" w:hAnsi="Calibri"/>
        </w:rPr>
        <w:t>Professional Liability Errors, and Omissions Insurance (minimum $1 million policy)</w:t>
      </w:r>
    </w:p>
    <w:p w14:paraId="43C7770B" w14:textId="77777777" w:rsidR="00CE3C7C" w:rsidRPr="00696847" w:rsidRDefault="00CE3C7C" w:rsidP="00CE3C7C">
      <w:pPr>
        <w:pStyle w:val="ListParagraph"/>
        <w:widowControl w:val="0"/>
        <w:numPr>
          <w:ilvl w:val="0"/>
          <w:numId w:val="9"/>
        </w:numPr>
        <w:spacing w:after="0" w:line="240" w:lineRule="auto"/>
        <w:ind w:left="1440"/>
        <w:contextualSpacing w:val="0"/>
        <w:rPr>
          <w:rFonts w:ascii="Calibri" w:hAnsi="Calibri"/>
        </w:rPr>
      </w:pPr>
      <w:r w:rsidRPr="00696847">
        <w:rPr>
          <w:rFonts w:ascii="Calibri" w:hAnsi="Calibri"/>
        </w:rPr>
        <w:t>Worker’s Compensation Coverage</w:t>
      </w:r>
    </w:p>
    <w:p w14:paraId="562EC087" w14:textId="77777777" w:rsidR="00CE3C7C" w:rsidRPr="00696847" w:rsidRDefault="00CE3C7C" w:rsidP="00CE3C7C">
      <w:pPr>
        <w:pStyle w:val="ListParagraph"/>
        <w:widowControl w:val="0"/>
        <w:numPr>
          <w:ilvl w:val="0"/>
          <w:numId w:val="9"/>
        </w:numPr>
        <w:spacing w:after="0" w:line="240" w:lineRule="auto"/>
        <w:ind w:left="1440"/>
        <w:contextualSpacing w:val="0"/>
        <w:rPr>
          <w:rFonts w:ascii="Calibri" w:hAnsi="Calibri"/>
        </w:rPr>
      </w:pPr>
      <w:r w:rsidRPr="00696847">
        <w:rPr>
          <w:rFonts w:ascii="Calibri" w:hAnsi="Calibri"/>
        </w:rPr>
        <w:t>General Commercial Liability Insurance (minimum $1 million policy)</w:t>
      </w:r>
    </w:p>
    <w:p w14:paraId="5A9CEB95" w14:textId="77777777" w:rsidR="00CE3C7C" w:rsidRPr="00696847" w:rsidRDefault="00CE3C7C" w:rsidP="00CE3C7C">
      <w:pPr>
        <w:pStyle w:val="ListParagraph"/>
        <w:widowControl w:val="0"/>
        <w:numPr>
          <w:ilvl w:val="0"/>
          <w:numId w:val="9"/>
        </w:numPr>
        <w:spacing w:after="0" w:line="240" w:lineRule="auto"/>
        <w:ind w:left="1440"/>
        <w:contextualSpacing w:val="0"/>
        <w:rPr>
          <w:rFonts w:ascii="Calibri" w:hAnsi="Calibri"/>
        </w:rPr>
      </w:pPr>
      <w:r w:rsidRPr="00696847">
        <w:rPr>
          <w:rFonts w:ascii="Calibri" w:hAnsi="Calibri"/>
        </w:rPr>
        <w:t>Business Automobile Liability Insurance (minimum $1 million policy)</w:t>
      </w:r>
    </w:p>
    <w:p w14:paraId="5106AC96" w14:textId="77777777" w:rsidR="00CE3C7C" w:rsidRPr="00696847" w:rsidRDefault="00CE3C7C" w:rsidP="00CE3C7C">
      <w:pPr>
        <w:pStyle w:val="ListParagraph"/>
        <w:widowControl w:val="0"/>
        <w:numPr>
          <w:ilvl w:val="0"/>
          <w:numId w:val="9"/>
        </w:numPr>
        <w:spacing w:after="0" w:line="240" w:lineRule="auto"/>
        <w:ind w:left="1440"/>
        <w:contextualSpacing w:val="0"/>
        <w:rPr>
          <w:rFonts w:ascii="Calibri" w:hAnsi="Calibri"/>
        </w:rPr>
      </w:pPr>
      <w:r w:rsidRPr="00696847">
        <w:rPr>
          <w:rFonts w:ascii="Calibri" w:hAnsi="Calibri"/>
        </w:rPr>
        <w:t>Fidelity Coverage</w:t>
      </w:r>
    </w:p>
    <w:p w14:paraId="6B4706F6" w14:textId="210810F9" w:rsidR="00CE3C7C" w:rsidRPr="00CE3C7C" w:rsidRDefault="00CE3C7C" w:rsidP="00CE3C7C">
      <w:pPr>
        <w:pStyle w:val="ListParagraph"/>
        <w:widowControl w:val="0"/>
        <w:numPr>
          <w:ilvl w:val="0"/>
          <w:numId w:val="9"/>
        </w:numPr>
        <w:spacing w:after="0" w:line="240" w:lineRule="auto"/>
        <w:ind w:left="1440"/>
        <w:contextualSpacing w:val="0"/>
        <w:rPr>
          <w:rFonts w:ascii="Calibri" w:hAnsi="Calibri"/>
        </w:rPr>
      </w:pPr>
      <w:r w:rsidRPr="00696847">
        <w:rPr>
          <w:rFonts w:ascii="Calibri" w:hAnsi="Calibri"/>
        </w:rPr>
        <w:t>Cyber Liability Insurance (minimum $1 million policy)</w:t>
      </w:r>
    </w:p>
    <w:p w14:paraId="06B35C65" w14:textId="1BD97356" w:rsidR="00042A45" w:rsidRDefault="00CE3C7C" w:rsidP="00CE3C7C">
      <w:pPr>
        <w:ind w:left="720"/>
      </w:pPr>
      <w:r>
        <w:rPr>
          <w:rFonts w:cs="Arial"/>
          <w:iCs/>
          <w:color w:val="000000"/>
        </w:rPr>
        <w:t xml:space="preserve">Please note that detailed instructions can be found in the </w:t>
      </w:r>
      <w:r>
        <w:t xml:space="preserve">guidance in the FY 2021 CFA Request for Proposals (page 18).  </w:t>
      </w:r>
    </w:p>
    <w:p w14:paraId="7D36B4FE" w14:textId="2D71F81B" w:rsidR="00042A45" w:rsidRPr="00042A45" w:rsidRDefault="00CE3C7C" w:rsidP="00042A45">
      <w:pPr>
        <w:pStyle w:val="ListParagraph"/>
        <w:numPr>
          <w:ilvl w:val="0"/>
          <w:numId w:val="2"/>
        </w:numPr>
        <w:spacing w:line="240" w:lineRule="auto"/>
        <w:rPr>
          <w:b/>
        </w:rPr>
      </w:pPr>
      <w:r>
        <w:rPr>
          <w:b/>
        </w:rPr>
        <w:t>What is the difference between the Emergency Shelter Grant and the CFA funding for Emergency Shelter?</w:t>
      </w:r>
    </w:p>
    <w:p w14:paraId="4AF51693" w14:textId="2AE82134" w:rsidR="00042A45" w:rsidRDefault="00042A45" w:rsidP="00CE3C7C">
      <w:pPr>
        <w:ind w:left="720"/>
      </w:pPr>
      <w:r>
        <w:t xml:space="preserve">Answer:  </w:t>
      </w:r>
      <w:r w:rsidR="00CE3C7C">
        <w:t>The Emergency Shelter Grant RFP that was released on Friday, February 28 is a bid to operate the three (3) emergency homeless shelter sites that are identified in the Request for Proposal</w:t>
      </w:r>
      <w:r w:rsidR="00290F87">
        <w:t xml:space="preserve"> and the source funding is local</w:t>
      </w:r>
      <w:r w:rsidR="00CE3C7C">
        <w:t>. The CFA funding for Emergency Shelter is not specific to these thre</w:t>
      </w:r>
      <w:r w:rsidR="00290F87">
        <w:t xml:space="preserve">e (3) shelters and the funding source for the CFA is one of three funding sources (HSP, ESG, or DSS). </w:t>
      </w:r>
    </w:p>
    <w:p w14:paraId="70A73F65" w14:textId="692E11A6" w:rsidR="00042A45" w:rsidRPr="00042A45" w:rsidRDefault="00CE3C7C" w:rsidP="00042A45">
      <w:pPr>
        <w:pStyle w:val="ListParagraph"/>
        <w:numPr>
          <w:ilvl w:val="0"/>
          <w:numId w:val="2"/>
        </w:numPr>
        <w:rPr>
          <w:b/>
        </w:rPr>
      </w:pPr>
      <w:r>
        <w:rPr>
          <w:b/>
        </w:rPr>
        <w:t>Do essential services like legal services need to be provided under an existing shelter program?</w:t>
      </w:r>
    </w:p>
    <w:p w14:paraId="32177676" w14:textId="6F995092" w:rsidR="00042A45" w:rsidRDefault="00042A45" w:rsidP="00CE3C7C">
      <w:pPr>
        <w:ind w:left="720"/>
      </w:pPr>
      <w:r>
        <w:t xml:space="preserve">Answer:  </w:t>
      </w:r>
      <w:r w:rsidR="00CE3C7C">
        <w:t>Legal services on</w:t>
      </w:r>
      <w:r w:rsidR="006A7EEB">
        <w:t>ly are not eligible for funding, but may be an eligible cost under the Emergency Shelter Project Type.</w:t>
      </w:r>
    </w:p>
    <w:p w14:paraId="309F9EE1" w14:textId="04E84663" w:rsidR="00042A45" w:rsidRPr="00557D90" w:rsidRDefault="006A7EEB" w:rsidP="00042A45">
      <w:pPr>
        <w:numPr>
          <w:ilvl w:val="0"/>
          <w:numId w:val="2"/>
        </w:numPr>
        <w:spacing w:after="0" w:line="240" w:lineRule="auto"/>
        <w:rPr>
          <w:rFonts w:eastAsia="Times New Roman"/>
          <w:b/>
        </w:rPr>
      </w:pPr>
      <w:r>
        <w:rPr>
          <w:rFonts w:eastAsia="Times New Roman"/>
          <w:b/>
        </w:rPr>
        <w:t>What is the project period and renewal process for funding</w:t>
      </w:r>
    </w:p>
    <w:p w14:paraId="13F69F00" w14:textId="77777777" w:rsidR="00042A45" w:rsidRDefault="00042A45" w:rsidP="00042A45">
      <w:pPr>
        <w:spacing w:after="0" w:line="240" w:lineRule="auto"/>
        <w:ind w:left="720"/>
        <w:rPr>
          <w:rFonts w:eastAsia="Times New Roman"/>
        </w:rPr>
      </w:pPr>
    </w:p>
    <w:p w14:paraId="5A7552EB" w14:textId="44EE09C9" w:rsidR="003A205B" w:rsidRDefault="00042A45" w:rsidP="003A205B">
      <w:pPr>
        <w:ind w:left="720"/>
        <w:rPr>
          <w:rFonts w:ascii="Calibri" w:hAnsi="Calibri"/>
          <w:color w:val="1F497D"/>
        </w:rPr>
      </w:pPr>
      <w:r>
        <w:rPr>
          <w:rFonts w:eastAsia="Times New Roman"/>
        </w:rPr>
        <w:t xml:space="preserve">Answer:  </w:t>
      </w:r>
      <w:r w:rsidR="003A205B" w:rsidRPr="003A205B">
        <w:rPr>
          <w:rFonts w:eastAsia="Times New Roman"/>
        </w:rPr>
        <w:t xml:space="preserve">Selected projects are funded for </w:t>
      </w:r>
      <w:r w:rsidR="003A205B" w:rsidRPr="003A205B">
        <w:rPr>
          <w:rFonts w:ascii="Calibri" w:hAnsi="Calibri"/>
        </w:rPr>
        <w:t>one-ye</w:t>
      </w:r>
      <w:r w:rsidR="00290F87">
        <w:rPr>
          <w:rFonts w:ascii="Calibri" w:hAnsi="Calibri"/>
        </w:rPr>
        <w:t>ar (July 1, 2020 – June 30, 2021</w:t>
      </w:r>
      <w:r w:rsidR="003A205B" w:rsidRPr="003A205B">
        <w:rPr>
          <w:rFonts w:ascii="Calibri" w:hAnsi="Calibri"/>
        </w:rPr>
        <w:t xml:space="preserve">). Projects funded under the Federal ESG award have a two-year contract, but the award is for one-year. Projects are required to apply annually under a renewal application for all funding sources, which is a competitive process. </w:t>
      </w:r>
      <w:bookmarkStart w:id="0" w:name="_GoBack"/>
      <w:bookmarkEnd w:id="0"/>
    </w:p>
    <w:p w14:paraId="4A181F86" w14:textId="41F348B1" w:rsidR="00042A45" w:rsidRPr="003B1D58" w:rsidRDefault="00042A45" w:rsidP="000B6C35">
      <w:pPr>
        <w:ind w:left="720"/>
      </w:pPr>
    </w:p>
    <w:p w14:paraId="656731BE" w14:textId="77777777" w:rsidR="004477C8" w:rsidRPr="00E71A6E" w:rsidRDefault="004477C8" w:rsidP="00AB5EAC">
      <w:pPr>
        <w:pStyle w:val="Default"/>
        <w:rPr>
          <w:rFonts w:asciiTheme="minorHAnsi" w:hAnsiTheme="minorHAnsi"/>
          <w:sz w:val="22"/>
          <w:szCs w:val="22"/>
        </w:rPr>
      </w:pPr>
    </w:p>
    <w:p w14:paraId="42EC31C5" w14:textId="77777777" w:rsidR="008F7041" w:rsidRPr="004643A0" w:rsidRDefault="008F7041" w:rsidP="004643A0"/>
    <w:sectPr w:rsidR="008F7041" w:rsidRPr="004643A0">
      <w:headerReference w:type="default" r:id="rId13"/>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E33BF2" w15:done="0"/>
  <w15:commentEx w15:paraId="587FB01F" w15:done="0"/>
  <w15:commentEx w15:paraId="359473BF" w15:paraIdParent="587FB01F" w15:done="0"/>
  <w15:commentEx w15:paraId="1B29421A" w15:done="0"/>
  <w15:commentEx w15:paraId="18D99F83" w15:paraIdParent="1B29421A" w15:done="0"/>
  <w15:commentEx w15:paraId="6FC923AD" w15:done="0"/>
  <w15:commentEx w15:paraId="126AA1CE" w15:done="0"/>
  <w15:commentEx w15:paraId="1FCE1C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63FE2" w14:textId="77777777" w:rsidR="00886CC6" w:rsidRDefault="00886CC6" w:rsidP="00642116">
      <w:pPr>
        <w:spacing w:after="0" w:line="240" w:lineRule="auto"/>
      </w:pPr>
      <w:r>
        <w:separator/>
      </w:r>
    </w:p>
  </w:endnote>
  <w:endnote w:type="continuationSeparator" w:id="0">
    <w:p w14:paraId="75CF6B3D" w14:textId="77777777" w:rsidR="00886CC6" w:rsidRDefault="00886CC6" w:rsidP="0064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F3D99" w14:textId="6AB179D7" w:rsidR="00D04207" w:rsidRDefault="008B1263" w:rsidP="00D04207">
    <w:pPr>
      <w:pStyle w:val="Footer"/>
      <w:jc w:val="right"/>
    </w:pPr>
    <w:r>
      <w:t>Updated</w:t>
    </w:r>
    <w:r w:rsidR="003A205B">
      <w:t xml:space="preserve"> March 9</w:t>
    </w:r>
    <w:r w:rsidR="00D04207">
      <w:t>, 20</w:t>
    </w:r>
    <w:r w:rsidR="003A205B">
      <w:t>20</w:t>
    </w:r>
  </w:p>
  <w:p w14:paraId="71CA4B2F" w14:textId="77777777" w:rsidR="00D04207" w:rsidRDefault="00D04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D711E" w14:textId="77777777" w:rsidR="00886CC6" w:rsidRDefault="00886CC6" w:rsidP="00642116">
      <w:pPr>
        <w:spacing w:after="0" w:line="240" w:lineRule="auto"/>
      </w:pPr>
      <w:r>
        <w:separator/>
      </w:r>
    </w:p>
  </w:footnote>
  <w:footnote w:type="continuationSeparator" w:id="0">
    <w:p w14:paraId="2BEB1598" w14:textId="77777777" w:rsidR="00886CC6" w:rsidRDefault="00886CC6" w:rsidP="00642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971EF" w14:textId="5D5FFCDE" w:rsidR="00D04207" w:rsidRDefault="00D04207" w:rsidP="00D04207">
    <w:pPr>
      <w:pStyle w:val="Header"/>
      <w:tabs>
        <w:tab w:val="clear" w:pos="4680"/>
        <w:tab w:val="clear" w:pos="9360"/>
        <w:tab w:val="left" w:pos="2385"/>
      </w:tabs>
    </w:pPr>
    <w:r>
      <w:rPr>
        <w:noProof/>
      </w:rPr>
      <w:drawing>
        <wp:anchor distT="0" distB="0" distL="114300" distR="114300" simplePos="0" relativeHeight="251659264" behindDoc="0" locked="0" layoutInCell="1" hidden="0" allowOverlap="1" wp14:anchorId="553D31FE" wp14:editId="023243CF">
          <wp:simplePos x="0" y="0"/>
          <wp:positionH relativeFrom="column">
            <wp:posOffset>19050</wp:posOffset>
          </wp:positionH>
          <wp:positionV relativeFrom="paragraph">
            <wp:posOffset>-419100</wp:posOffset>
          </wp:positionV>
          <wp:extent cx="1200150" cy="99123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0150" cy="991235"/>
                  </a:xfrm>
                  <a:prstGeom prst="rect">
                    <a:avLst/>
                  </a:prstGeom>
                  <a:ln/>
                </pic:spPr>
              </pic:pic>
            </a:graphicData>
          </a:graphic>
        </wp:anchor>
      </w:drawing>
    </w:r>
    <w:r>
      <w:tab/>
    </w:r>
  </w:p>
  <w:p w14:paraId="6F7D62FA" w14:textId="1FFBB385" w:rsidR="00D04207" w:rsidRDefault="00D04207" w:rsidP="00D04207">
    <w:pPr>
      <w:pStyle w:val="NormalWeb"/>
      <w:spacing w:before="0" w:beforeAutospacing="0" w:after="0" w:afterAutospacing="0"/>
      <w:rPr>
        <w:rFonts w:ascii="Arial" w:hAnsi="Arial" w:cs="Arial"/>
        <w:b/>
        <w:bCs/>
        <w:color w:val="000000"/>
      </w:rPr>
    </w:pPr>
    <w:r>
      <w:tab/>
    </w:r>
    <w:r>
      <w:tab/>
    </w:r>
    <w:r>
      <w:tab/>
    </w:r>
    <w:r w:rsidR="002E1FCD">
      <w:rPr>
        <w:rFonts w:ascii="Arial" w:hAnsi="Arial" w:cs="Arial"/>
        <w:b/>
        <w:bCs/>
        <w:color w:val="000000"/>
      </w:rPr>
      <w:t>FY2021</w:t>
    </w:r>
    <w:r>
      <w:rPr>
        <w:rFonts w:ascii="Arial" w:hAnsi="Arial" w:cs="Arial"/>
        <w:b/>
        <w:bCs/>
        <w:color w:val="000000"/>
      </w:rPr>
      <w:t xml:space="preserve"> </w:t>
    </w:r>
    <w:r w:rsidR="002E1FCD">
      <w:rPr>
        <w:rFonts w:ascii="Arial" w:hAnsi="Arial" w:cs="Arial"/>
        <w:b/>
        <w:bCs/>
        <w:color w:val="000000"/>
      </w:rPr>
      <w:t xml:space="preserve">Consolidated Funding Application (CFA) </w:t>
    </w:r>
    <w:r>
      <w:rPr>
        <w:rFonts w:ascii="Arial" w:hAnsi="Arial" w:cs="Arial"/>
        <w:b/>
        <w:bCs/>
        <w:color w:val="000000"/>
      </w:rPr>
      <w:t>Competition</w:t>
    </w:r>
  </w:p>
  <w:p w14:paraId="3A3BED41" w14:textId="26C87C74" w:rsidR="00D04207" w:rsidRDefault="00D04207" w:rsidP="00D04207">
    <w:pPr>
      <w:pStyle w:val="NormalWeb"/>
      <w:spacing w:before="0" w:beforeAutospacing="0" w:after="0" w:afterAutospacing="0"/>
    </w:pPr>
    <w:r>
      <w:rPr>
        <w:rFonts w:ascii="Arial" w:hAnsi="Arial" w:cs="Arial"/>
        <w:b/>
        <w:bCs/>
        <w:color w:val="000000"/>
      </w:rPr>
      <w:tab/>
    </w:r>
    <w:r>
      <w:rPr>
        <w:rFonts w:ascii="Arial" w:hAnsi="Arial" w:cs="Arial"/>
        <w:b/>
        <w:bCs/>
        <w:color w:val="000000"/>
      </w:rPr>
      <w:tab/>
    </w:r>
    <w:r>
      <w:rPr>
        <w:rFonts w:ascii="Arial" w:hAnsi="Arial" w:cs="Arial"/>
        <w:b/>
        <w:bCs/>
        <w:color w:val="000000"/>
      </w:rPr>
      <w:tab/>
      <w:t>Baltimore City Continuum of Care</w:t>
    </w:r>
  </w:p>
  <w:p w14:paraId="526E31E4" w14:textId="5F30CD7E" w:rsidR="00D04207" w:rsidRDefault="00D04207" w:rsidP="00D04207">
    <w:pPr>
      <w:pStyle w:val="Header"/>
      <w:tabs>
        <w:tab w:val="clear" w:pos="4680"/>
        <w:tab w:val="clear" w:pos="9360"/>
        <w:tab w:val="left" w:pos="2355"/>
        <w:tab w:val="left" w:pos="6900"/>
      </w:tabs>
    </w:pPr>
    <w:r>
      <w:tab/>
    </w:r>
  </w:p>
  <w:p w14:paraId="68DE9ADC" w14:textId="77777777" w:rsidR="00D04207" w:rsidRDefault="00D04207" w:rsidP="00D04207">
    <w:pPr>
      <w:pStyle w:val="Header"/>
      <w:tabs>
        <w:tab w:val="clear" w:pos="4680"/>
        <w:tab w:val="clear" w:pos="9360"/>
        <w:tab w:val="left" w:pos="6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4CA"/>
    <w:multiLevelType w:val="hybridMultilevel"/>
    <w:tmpl w:val="20FE0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36209"/>
    <w:multiLevelType w:val="multilevel"/>
    <w:tmpl w:val="7F94CB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6501F59"/>
    <w:multiLevelType w:val="hybridMultilevel"/>
    <w:tmpl w:val="97365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3825E4"/>
    <w:multiLevelType w:val="hybridMultilevel"/>
    <w:tmpl w:val="BD34196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nsid w:val="2B4C3BCC"/>
    <w:multiLevelType w:val="hybridMultilevel"/>
    <w:tmpl w:val="015C5D08"/>
    <w:lvl w:ilvl="0" w:tplc="5CFA4F20">
      <w:start w:val="1"/>
      <w:numFmt w:val="decimal"/>
      <w:lvlText w:val="%1."/>
      <w:lvlJc w:val="left"/>
      <w:pPr>
        <w:ind w:left="720" w:hanging="360"/>
      </w:pPr>
      <w:rPr>
        <w:rFonts w:hint="default"/>
        <w:b/>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53D88"/>
    <w:multiLevelType w:val="hybridMultilevel"/>
    <w:tmpl w:val="B2D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E54FE6"/>
    <w:multiLevelType w:val="hybridMultilevel"/>
    <w:tmpl w:val="1E34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81182B"/>
    <w:multiLevelType w:val="hybridMultilevel"/>
    <w:tmpl w:val="AE7A20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9F0B0D"/>
    <w:multiLevelType w:val="hybridMultilevel"/>
    <w:tmpl w:val="A67A1D7C"/>
    <w:lvl w:ilvl="0" w:tplc="8834D394">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3"/>
  </w:num>
  <w:num w:numId="5">
    <w:abstractNumId w:val="2"/>
  </w:num>
  <w:num w:numId="6">
    <w:abstractNumId w:val="7"/>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s, Hannah">
    <w15:presenceInfo w15:providerId="AD" w15:userId="S-1-5-21-487349131-2095749132-2248483902-860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41"/>
    <w:rsid w:val="00042A45"/>
    <w:rsid w:val="0005094B"/>
    <w:rsid w:val="00075515"/>
    <w:rsid w:val="00083CDC"/>
    <w:rsid w:val="000A07D3"/>
    <w:rsid w:val="000B6C35"/>
    <w:rsid w:val="00103822"/>
    <w:rsid w:val="001A6BC6"/>
    <w:rsid w:val="001B0F98"/>
    <w:rsid w:val="001B187E"/>
    <w:rsid w:val="002837C4"/>
    <w:rsid w:val="00290F87"/>
    <w:rsid w:val="002E1FCD"/>
    <w:rsid w:val="00315162"/>
    <w:rsid w:val="003A205B"/>
    <w:rsid w:val="003B1D58"/>
    <w:rsid w:val="004477C8"/>
    <w:rsid w:val="004643A0"/>
    <w:rsid w:val="004B0D48"/>
    <w:rsid w:val="004C15B8"/>
    <w:rsid w:val="00557D90"/>
    <w:rsid w:val="0061341B"/>
    <w:rsid w:val="00642116"/>
    <w:rsid w:val="00650247"/>
    <w:rsid w:val="006A2B2E"/>
    <w:rsid w:val="006A7EEB"/>
    <w:rsid w:val="00704622"/>
    <w:rsid w:val="00712341"/>
    <w:rsid w:val="007615F9"/>
    <w:rsid w:val="008424A1"/>
    <w:rsid w:val="00886CC6"/>
    <w:rsid w:val="008B1263"/>
    <w:rsid w:val="008F7041"/>
    <w:rsid w:val="00A65A32"/>
    <w:rsid w:val="00AB5EAC"/>
    <w:rsid w:val="00AE7477"/>
    <w:rsid w:val="00BE52C0"/>
    <w:rsid w:val="00CA09D6"/>
    <w:rsid w:val="00CB5C8D"/>
    <w:rsid w:val="00CD47E1"/>
    <w:rsid w:val="00CE3C7C"/>
    <w:rsid w:val="00D04207"/>
    <w:rsid w:val="00E71A6E"/>
    <w:rsid w:val="00ED107D"/>
    <w:rsid w:val="00F2164A"/>
    <w:rsid w:val="00F700DC"/>
    <w:rsid w:val="00F83CA9"/>
    <w:rsid w:val="00FD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8F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7041"/>
    <w:pPr>
      <w:ind w:left="720"/>
      <w:contextualSpacing/>
    </w:pPr>
  </w:style>
  <w:style w:type="character" w:styleId="Hyperlink">
    <w:name w:val="Hyperlink"/>
    <w:basedOn w:val="DefaultParagraphFont"/>
    <w:uiPriority w:val="99"/>
    <w:unhideWhenUsed/>
    <w:rsid w:val="00F2164A"/>
    <w:rPr>
      <w:color w:val="0000FF" w:themeColor="hyperlink"/>
      <w:u w:val="single"/>
    </w:rPr>
  </w:style>
  <w:style w:type="paragraph" w:customStyle="1" w:styleId="Default">
    <w:name w:val="Default"/>
    <w:uiPriority w:val="99"/>
    <w:rsid w:val="00CD47E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nhideWhenUsed/>
    <w:rsid w:val="00E71A6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83CA9"/>
    <w:rPr>
      <w:sz w:val="16"/>
      <w:szCs w:val="16"/>
    </w:rPr>
  </w:style>
  <w:style w:type="paragraph" w:styleId="CommentText">
    <w:name w:val="annotation text"/>
    <w:basedOn w:val="Normal"/>
    <w:link w:val="CommentTextChar"/>
    <w:uiPriority w:val="99"/>
    <w:semiHidden/>
    <w:unhideWhenUsed/>
    <w:rsid w:val="00F83CA9"/>
    <w:pPr>
      <w:spacing w:line="240" w:lineRule="auto"/>
    </w:pPr>
    <w:rPr>
      <w:sz w:val="20"/>
      <w:szCs w:val="20"/>
    </w:rPr>
  </w:style>
  <w:style w:type="character" w:customStyle="1" w:styleId="CommentTextChar">
    <w:name w:val="Comment Text Char"/>
    <w:basedOn w:val="DefaultParagraphFont"/>
    <w:link w:val="CommentText"/>
    <w:uiPriority w:val="99"/>
    <w:semiHidden/>
    <w:rsid w:val="00F83CA9"/>
    <w:rPr>
      <w:sz w:val="20"/>
      <w:szCs w:val="20"/>
    </w:rPr>
  </w:style>
  <w:style w:type="paragraph" w:styleId="CommentSubject">
    <w:name w:val="annotation subject"/>
    <w:basedOn w:val="CommentText"/>
    <w:next w:val="CommentText"/>
    <w:link w:val="CommentSubjectChar"/>
    <w:uiPriority w:val="99"/>
    <w:semiHidden/>
    <w:unhideWhenUsed/>
    <w:rsid w:val="00F83CA9"/>
    <w:rPr>
      <w:b/>
      <w:bCs/>
    </w:rPr>
  </w:style>
  <w:style w:type="character" w:customStyle="1" w:styleId="CommentSubjectChar">
    <w:name w:val="Comment Subject Char"/>
    <w:basedOn w:val="CommentTextChar"/>
    <w:link w:val="CommentSubject"/>
    <w:uiPriority w:val="99"/>
    <w:semiHidden/>
    <w:rsid w:val="00F83CA9"/>
    <w:rPr>
      <w:b/>
      <w:bCs/>
      <w:sz w:val="20"/>
      <w:szCs w:val="20"/>
    </w:rPr>
  </w:style>
  <w:style w:type="paragraph" w:styleId="BalloonText">
    <w:name w:val="Balloon Text"/>
    <w:basedOn w:val="Normal"/>
    <w:link w:val="BalloonTextChar"/>
    <w:uiPriority w:val="99"/>
    <w:semiHidden/>
    <w:unhideWhenUsed/>
    <w:rsid w:val="00F83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CA9"/>
    <w:rPr>
      <w:rFonts w:ascii="Tahoma" w:hAnsi="Tahoma" w:cs="Tahoma"/>
      <w:sz w:val="16"/>
      <w:szCs w:val="16"/>
    </w:rPr>
  </w:style>
  <w:style w:type="character" w:styleId="Strong">
    <w:name w:val="Strong"/>
    <w:basedOn w:val="DefaultParagraphFont"/>
    <w:uiPriority w:val="22"/>
    <w:qFormat/>
    <w:rsid w:val="006A2B2E"/>
    <w:rPr>
      <w:b/>
      <w:bCs/>
    </w:rPr>
  </w:style>
  <w:style w:type="paragraph" w:styleId="Header">
    <w:name w:val="header"/>
    <w:basedOn w:val="Normal"/>
    <w:link w:val="HeaderChar"/>
    <w:uiPriority w:val="99"/>
    <w:unhideWhenUsed/>
    <w:rsid w:val="00642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16"/>
  </w:style>
  <w:style w:type="paragraph" w:styleId="Footer">
    <w:name w:val="footer"/>
    <w:basedOn w:val="Normal"/>
    <w:link w:val="FooterChar"/>
    <w:uiPriority w:val="99"/>
    <w:unhideWhenUsed/>
    <w:rsid w:val="00642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16"/>
  </w:style>
  <w:style w:type="character" w:styleId="FollowedHyperlink">
    <w:name w:val="FollowedHyperlink"/>
    <w:basedOn w:val="DefaultParagraphFont"/>
    <w:uiPriority w:val="99"/>
    <w:semiHidden/>
    <w:unhideWhenUsed/>
    <w:rsid w:val="007615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7041"/>
    <w:pPr>
      <w:ind w:left="720"/>
      <w:contextualSpacing/>
    </w:pPr>
  </w:style>
  <w:style w:type="character" w:styleId="Hyperlink">
    <w:name w:val="Hyperlink"/>
    <w:basedOn w:val="DefaultParagraphFont"/>
    <w:uiPriority w:val="99"/>
    <w:unhideWhenUsed/>
    <w:rsid w:val="00F2164A"/>
    <w:rPr>
      <w:color w:val="0000FF" w:themeColor="hyperlink"/>
      <w:u w:val="single"/>
    </w:rPr>
  </w:style>
  <w:style w:type="paragraph" w:customStyle="1" w:styleId="Default">
    <w:name w:val="Default"/>
    <w:uiPriority w:val="99"/>
    <w:rsid w:val="00CD47E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nhideWhenUsed/>
    <w:rsid w:val="00E71A6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83CA9"/>
    <w:rPr>
      <w:sz w:val="16"/>
      <w:szCs w:val="16"/>
    </w:rPr>
  </w:style>
  <w:style w:type="paragraph" w:styleId="CommentText">
    <w:name w:val="annotation text"/>
    <w:basedOn w:val="Normal"/>
    <w:link w:val="CommentTextChar"/>
    <w:uiPriority w:val="99"/>
    <w:semiHidden/>
    <w:unhideWhenUsed/>
    <w:rsid w:val="00F83CA9"/>
    <w:pPr>
      <w:spacing w:line="240" w:lineRule="auto"/>
    </w:pPr>
    <w:rPr>
      <w:sz w:val="20"/>
      <w:szCs w:val="20"/>
    </w:rPr>
  </w:style>
  <w:style w:type="character" w:customStyle="1" w:styleId="CommentTextChar">
    <w:name w:val="Comment Text Char"/>
    <w:basedOn w:val="DefaultParagraphFont"/>
    <w:link w:val="CommentText"/>
    <w:uiPriority w:val="99"/>
    <w:semiHidden/>
    <w:rsid w:val="00F83CA9"/>
    <w:rPr>
      <w:sz w:val="20"/>
      <w:szCs w:val="20"/>
    </w:rPr>
  </w:style>
  <w:style w:type="paragraph" w:styleId="CommentSubject">
    <w:name w:val="annotation subject"/>
    <w:basedOn w:val="CommentText"/>
    <w:next w:val="CommentText"/>
    <w:link w:val="CommentSubjectChar"/>
    <w:uiPriority w:val="99"/>
    <w:semiHidden/>
    <w:unhideWhenUsed/>
    <w:rsid w:val="00F83CA9"/>
    <w:rPr>
      <w:b/>
      <w:bCs/>
    </w:rPr>
  </w:style>
  <w:style w:type="character" w:customStyle="1" w:styleId="CommentSubjectChar">
    <w:name w:val="Comment Subject Char"/>
    <w:basedOn w:val="CommentTextChar"/>
    <w:link w:val="CommentSubject"/>
    <w:uiPriority w:val="99"/>
    <w:semiHidden/>
    <w:rsid w:val="00F83CA9"/>
    <w:rPr>
      <w:b/>
      <w:bCs/>
      <w:sz w:val="20"/>
      <w:szCs w:val="20"/>
    </w:rPr>
  </w:style>
  <w:style w:type="paragraph" w:styleId="BalloonText">
    <w:name w:val="Balloon Text"/>
    <w:basedOn w:val="Normal"/>
    <w:link w:val="BalloonTextChar"/>
    <w:uiPriority w:val="99"/>
    <w:semiHidden/>
    <w:unhideWhenUsed/>
    <w:rsid w:val="00F83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CA9"/>
    <w:rPr>
      <w:rFonts w:ascii="Tahoma" w:hAnsi="Tahoma" w:cs="Tahoma"/>
      <w:sz w:val="16"/>
      <w:szCs w:val="16"/>
    </w:rPr>
  </w:style>
  <w:style w:type="character" w:styleId="Strong">
    <w:name w:val="Strong"/>
    <w:basedOn w:val="DefaultParagraphFont"/>
    <w:uiPriority w:val="22"/>
    <w:qFormat/>
    <w:rsid w:val="006A2B2E"/>
    <w:rPr>
      <w:b/>
      <w:bCs/>
    </w:rPr>
  </w:style>
  <w:style w:type="paragraph" w:styleId="Header">
    <w:name w:val="header"/>
    <w:basedOn w:val="Normal"/>
    <w:link w:val="HeaderChar"/>
    <w:uiPriority w:val="99"/>
    <w:unhideWhenUsed/>
    <w:rsid w:val="00642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16"/>
  </w:style>
  <w:style w:type="paragraph" w:styleId="Footer">
    <w:name w:val="footer"/>
    <w:basedOn w:val="Normal"/>
    <w:link w:val="FooterChar"/>
    <w:uiPriority w:val="99"/>
    <w:unhideWhenUsed/>
    <w:rsid w:val="00642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16"/>
  </w:style>
  <w:style w:type="character" w:styleId="FollowedHyperlink">
    <w:name w:val="FollowedHyperlink"/>
    <w:basedOn w:val="DefaultParagraphFont"/>
    <w:uiPriority w:val="99"/>
    <w:semiHidden/>
    <w:unhideWhenUsed/>
    <w:rsid w:val="007615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929">
      <w:bodyDiv w:val="1"/>
      <w:marLeft w:val="0"/>
      <w:marRight w:val="0"/>
      <w:marTop w:val="0"/>
      <w:marBottom w:val="0"/>
      <w:divBdr>
        <w:top w:val="none" w:sz="0" w:space="0" w:color="auto"/>
        <w:left w:val="none" w:sz="0" w:space="0" w:color="auto"/>
        <w:bottom w:val="none" w:sz="0" w:space="0" w:color="auto"/>
        <w:right w:val="none" w:sz="0" w:space="0" w:color="auto"/>
      </w:divBdr>
    </w:div>
    <w:div w:id="75711725">
      <w:bodyDiv w:val="1"/>
      <w:marLeft w:val="0"/>
      <w:marRight w:val="0"/>
      <w:marTop w:val="0"/>
      <w:marBottom w:val="0"/>
      <w:divBdr>
        <w:top w:val="none" w:sz="0" w:space="0" w:color="auto"/>
        <w:left w:val="none" w:sz="0" w:space="0" w:color="auto"/>
        <w:bottom w:val="none" w:sz="0" w:space="0" w:color="auto"/>
        <w:right w:val="none" w:sz="0" w:space="0" w:color="auto"/>
      </w:divBdr>
    </w:div>
    <w:div w:id="81724438">
      <w:bodyDiv w:val="1"/>
      <w:marLeft w:val="0"/>
      <w:marRight w:val="0"/>
      <w:marTop w:val="0"/>
      <w:marBottom w:val="0"/>
      <w:divBdr>
        <w:top w:val="none" w:sz="0" w:space="0" w:color="auto"/>
        <w:left w:val="none" w:sz="0" w:space="0" w:color="auto"/>
        <w:bottom w:val="none" w:sz="0" w:space="0" w:color="auto"/>
        <w:right w:val="none" w:sz="0" w:space="0" w:color="auto"/>
      </w:divBdr>
    </w:div>
    <w:div w:id="135682821">
      <w:bodyDiv w:val="1"/>
      <w:marLeft w:val="0"/>
      <w:marRight w:val="0"/>
      <w:marTop w:val="0"/>
      <w:marBottom w:val="0"/>
      <w:divBdr>
        <w:top w:val="none" w:sz="0" w:space="0" w:color="auto"/>
        <w:left w:val="none" w:sz="0" w:space="0" w:color="auto"/>
        <w:bottom w:val="none" w:sz="0" w:space="0" w:color="auto"/>
        <w:right w:val="none" w:sz="0" w:space="0" w:color="auto"/>
      </w:divBdr>
    </w:div>
    <w:div w:id="136923381">
      <w:bodyDiv w:val="1"/>
      <w:marLeft w:val="0"/>
      <w:marRight w:val="0"/>
      <w:marTop w:val="0"/>
      <w:marBottom w:val="0"/>
      <w:divBdr>
        <w:top w:val="none" w:sz="0" w:space="0" w:color="auto"/>
        <w:left w:val="none" w:sz="0" w:space="0" w:color="auto"/>
        <w:bottom w:val="none" w:sz="0" w:space="0" w:color="auto"/>
        <w:right w:val="none" w:sz="0" w:space="0" w:color="auto"/>
      </w:divBdr>
    </w:div>
    <w:div w:id="257955077">
      <w:bodyDiv w:val="1"/>
      <w:marLeft w:val="0"/>
      <w:marRight w:val="0"/>
      <w:marTop w:val="0"/>
      <w:marBottom w:val="0"/>
      <w:divBdr>
        <w:top w:val="none" w:sz="0" w:space="0" w:color="auto"/>
        <w:left w:val="none" w:sz="0" w:space="0" w:color="auto"/>
        <w:bottom w:val="none" w:sz="0" w:space="0" w:color="auto"/>
        <w:right w:val="none" w:sz="0" w:space="0" w:color="auto"/>
      </w:divBdr>
    </w:div>
    <w:div w:id="385446791">
      <w:bodyDiv w:val="1"/>
      <w:marLeft w:val="0"/>
      <w:marRight w:val="0"/>
      <w:marTop w:val="0"/>
      <w:marBottom w:val="0"/>
      <w:divBdr>
        <w:top w:val="none" w:sz="0" w:space="0" w:color="auto"/>
        <w:left w:val="none" w:sz="0" w:space="0" w:color="auto"/>
        <w:bottom w:val="none" w:sz="0" w:space="0" w:color="auto"/>
        <w:right w:val="none" w:sz="0" w:space="0" w:color="auto"/>
      </w:divBdr>
    </w:div>
    <w:div w:id="517936354">
      <w:bodyDiv w:val="1"/>
      <w:marLeft w:val="0"/>
      <w:marRight w:val="0"/>
      <w:marTop w:val="0"/>
      <w:marBottom w:val="0"/>
      <w:divBdr>
        <w:top w:val="none" w:sz="0" w:space="0" w:color="auto"/>
        <w:left w:val="none" w:sz="0" w:space="0" w:color="auto"/>
        <w:bottom w:val="none" w:sz="0" w:space="0" w:color="auto"/>
        <w:right w:val="none" w:sz="0" w:space="0" w:color="auto"/>
      </w:divBdr>
    </w:div>
    <w:div w:id="726609032">
      <w:bodyDiv w:val="1"/>
      <w:marLeft w:val="0"/>
      <w:marRight w:val="0"/>
      <w:marTop w:val="0"/>
      <w:marBottom w:val="0"/>
      <w:divBdr>
        <w:top w:val="none" w:sz="0" w:space="0" w:color="auto"/>
        <w:left w:val="none" w:sz="0" w:space="0" w:color="auto"/>
        <w:bottom w:val="none" w:sz="0" w:space="0" w:color="auto"/>
        <w:right w:val="none" w:sz="0" w:space="0" w:color="auto"/>
      </w:divBdr>
    </w:div>
    <w:div w:id="749304845">
      <w:bodyDiv w:val="1"/>
      <w:marLeft w:val="0"/>
      <w:marRight w:val="0"/>
      <w:marTop w:val="0"/>
      <w:marBottom w:val="0"/>
      <w:divBdr>
        <w:top w:val="none" w:sz="0" w:space="0" w:color="auto"/>
        <w:left w:val="none" w:sz="0" w:space="0" w:color="auto"/>
        <w:bottom w:val="none" w:sz="0" w:space="0" w:color="auto"/>
        <w:right w:val="none" w:sz="0" w:space="0" w:color="auto"/>
      </w:divBdr>
    </w:div>
    <w:div w:id="817186374">
      <w:bodyDiv w:val="1"/>
      <w:marLeft w:val="0"/>
      <w:marRight w:val="0"/>
      <w:marTop w:val="0"/>
      <w:marBottom w:val="0"/>
      <w:divBdr>
        <w:top w:val="none" w:sz="0" w:space="0" w:color="auto"/>
        <w:left w:val="none" w:sz="0" w:space="0" w:color="auto"/>
        <w:bottom w:val="none" w:sz="0" w:space="0" w:color="auto"/>
        <w:right w:val="none" w:sz="0" w:space="0" w:color="auto"/>
      </w:divBdr>
    </w:div>
    <w:div w:id="1161431689">
      <w:bodyDiv w:val="1"/>
      <w:marLeft w:val="0"/>
      <w:marRight w:val="0"/>
      <w:marTop w:val="0"/>
      <w:marBottom w:val="0"/>
      <w:divBdr>
        <w:top w:val="none" w:sz="0" w:space="0" w:color="auto"/>
        <w:left w:val="none" w:sz="0" w:space="0" w:color="auto"/>
        <w:bottom w:val="none" w:sz="0" w:space="0" w:color="auto"/>
        <w:right w:val="none" w:sz="0" w:space="0" w:color="auto"/>
      </w:divBdr>
    </w:div>
    <w:div w:id="1189564282">
      <w:bodyDiv w:val="1"/>
      <w:marLeft w:val="0"/>
      <w:marRight w:val="0"/>
      <w:marTop w:val="0"/>
      <w:marBottom w:val="0"/>
      <w:divBdr>
        <w:top w:val="none" w:sz="0" w:space="0" w:color="auto"/>
        <w:left w:val="none" w:sz="0" w:space="0" w:color="auto"/>
        <w:bottom w:val="none" w:sz="0" w:space="0" w:color="auto"/>
        <w:right w:val="none" w:sz="0" w:space="0" w:color="auto"/>
      </w:divBdr>
    </w:div>
    <w:div w:id="1265649363">
      <w:bodyDiv w:val="1"/>
      <w:marLeft w:val="0"/>
      <w:marRight w:val="0"/>
      <w:marTop w:val="0"/>
      <w:marBottom w:val="0"/>
      <w:divBdr>
        <w:top w:val="none" w:sz="0" w:space="0" w:color="auto"/>
        <w:left w:val="none" w:sz="0" w:space="0" w:color="auto"/>
        <w:bottom w:val="none" w:sz="0" w:space="0" w:color="auto"/>
        <w:right w:val="none" w:sz="0" w:space="0" w:color="auto"/>
      </w:divBdr>
    </w:div>
    <w:div w:id="1488746056">
      <w:bodyDiv w:val="1"/>
      <w:marLeft w:val="0"/>
      <w:marRight w:val="0"/>
      <w:marTop w:val="0"/>
      <w:marBottom w:val="0"/>
      <w:divBdr>
        <w:top w:val="none" w:sz="0" w:space="0" w:color="auto"/>
        <w:left w:val="none" w:sz="0" w:space="0" w:color="auto"/>
        <w:bottom w:val="none" w:sz="0" w:space="0" w:color="auto"/>
        <w:right w:val="none" w:sz="0" w:space="0" w:color="auto"/>
      </w:divBdr>
    </w:div>
    <w:div w:id="1569420622">
      <w:bodyDiv w:val="1"/>
      <w:marLeft w:val="0"/>
      <w:marRight w:val="0"/>
      <w:marTop w:val="0"/>
      <w:marBottom w:val="0"/>
      <w:divBdr>
        <w:top w:val="none" w:sz="0" w:space="0" w:color="auto"/>
        <w:left w:val="none" w:sz="0" w:space="0" w:color="auto"/>
        <w:bottom w:val="none" w:sz="0" w:space="0" w:color="auto"/>
        <w:right w:val="none" w:sz="0" w:space="0" w:color="auto"/>
      </w:divBdr>
    </w:div>
    <w:div w:id="1633516078">
      <w:bodyDiv w:val="1"/>
      <w:marLeft w:val="0"/>
      <w:marRight w:val="0"/>
      <w:marTop w:val="0"/>
      <w:marBottom w:val="0"/>
      <w:divBdr>
        <w:top w:val="none" w:sz="0" w:space="0" w:color="auto"/>
        <w:left w:val="none" w:sz="0" w:space="0" w:color="auto"/>
        <w:bottom w:val="none" w:sz="0" w:space="0" w:color="auto"/>
        <w:right w:val="none" w:sz="0" w:space="0" w:color="auto"/>
      </w:divBdr>
    </w:div>
    <w:div w:id="1817379215">
      <w:bodyDiv w:val="1"/>
      <w:marLeft w:val="0"/>
      <w:marRight w:val="0"/>
      <w:marTop w:val="0"/>
      <w:marBottom w:val="0"/>
      <w:divBdr>
        <w:top w:val="none" w:sz="0" w:space="0" w:color="auto"/>
        <w:left w:val="none" w:sz="0" w:space="0" w:color="auto"/>
        <w:bottom w:val="none" w:sz="0" w:space="0" w:color="auto"/>
        <w:right w:val="none" w:sz="0" w:space="0" w:color="auto"/>
      </w:divBdr>
    </w:div>
    <w:div w:id="1836218803">
      <w:bodyDiv w:val="1"/>
      <w:marLeft w:val="0"/>
      <w:marRight w:val="0"/>
      <w:marTop w:val="0"/>
      <w:marBottom w:val="0"/>
      <w:divBdr>
        <w:top w:val="none" w:sz="0" w:space="0" w:color="auto"/>
        <w:left w:val="none" w:sz="0" w:space="0" w:color="auto"/>
        <w:bottom w:val="none" w:sz="0" w:space="0" w:color="auto"/>
        <w:right w:val="none" w:sz="0" w:space="0" w:color="auto"/>
      </w:divBdr>
    </w:div>
    <w:div w:id="1999768254">
      <w:bodyDiv w:val="1"/>
      <w:marLeft w:val="0"/>
      <w:marRight w:val="0"/>
      <w:marTop w:val="0"/>
      <w:marBottom w:val="0"/>
      <w:divBdr>
        <w:top w:val="none" w:sz="0" w:space="0" w:color="auto"/>
        <w:left w:val="none" w:sz="0" w:space="0" w:color="auto"/>
        <w:bottom w:val="none" w:sz="0" w:space="0" w:color="auto"/>
        <w:right w:val="none" w:sz="0" w:space="0" w:color="auto"/>
      </w:divBdr>
    </w:div>
    <w:div w:id="2033992416">
      <w:bodyDiv w:val="1"/>
      <w:marLeft w:val="0"/>
      <w:marRight w:val="0"/>
      <w:marTop w:val="0"/>
      <w:marBottom w:val="0"/>
      <w:divBdr>
        <w:top w:val="none" w:sz="0" w:space="0" w:color="auto"/>
        <w:left w:val="none" w:sz="0" w:space="0" w:color="auto"/>
        <w:bottom w:val="none" w:sz="0" w:space="0" w:color="auto"/>
        <w:right w:val="none" w:sz="0" w:space="0" w:color="auto"/>
      </w:divBdr>
    </w:div>
    <w:div w:id="2034457170">
      <w:bodyDiv w:val="1"/>
      <w:marLeft w:val="0"/>
      <w:marRight w:val="0"/>
      <w:marTop w:val="0"/>
      <w:marBottom w:val="0"/>
      <w:divBdr>
        <w:top w:val="none" w:sz="0" w:space="0" w:color="auto"/>
        <w:left w:val="none" w:sz="0" w:space="0" w:color="auto"/>
        <w:bottom w:val="none" w:sz="0" w:space="0" w:color="auto"/>
        <w:right w:val="none" w:sz="0" w:space="0" w:color="auto"/>
      </w:divBdr>
    </w:div>
    <w:div w:id="21132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mohs.hsp.application@baltimorecity.gov"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hs.hsp.application@baltimorecity.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ohs.hsp.application@baltimorecity.gov" TargetMode="External"/><Relationship Id="rId4" Type="http://schemas.microsoft.com/office/2007/relationships/stylesWithEffects" Target="stylesWithEffects.xml"/><Relationship Id="rId9" Type="http://schemas.openxmlformats.org/officeDocument/2006/relationships/hyperlink" Target="mailto:mohs.hsp.application@baltimorecity.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566D6-49EB-43E8-AE50-EA475967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Nandi, Paroma</dc:creator>
  <cp:lastModifiedBy>Nandi, Paroma</cp:lastModifiedBy>
  <cp:revision>5</cp:revision>
  <dcterms:created xsi:type="dcterms:W3CDTF">2020-03-09T20:06:00Z</dcterms:created>
  <dcterms:modified xsi:type="dcterms:W3CDTF">2020-03-11T13:45:00Z</dcterms:modified>
</cp:coreProperties>
</file>