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EC43A" w14:textId="63E3D8A6" w:rsidR="007A4875" w:rsidRDefault="00BE67EF" w:rsidP="007A4875">
      <w:pPr>
        <w:rPr>
          <w:rFonts w:ascii="Arial Narrow" w:hAnsi="Arial Narrow"/>
          <w:b/>
          <w:sz w:val="24"/>
          <w:szCs w:val="24"/>
        </w:rPr>
      </w:pPr>
      <w:r>
        <w:rPr>
          <w:rFonts w:ascii="Arial Narrow" w:hAnsi="Arial Narrow"/>
          <w:b/>
          <w:bCs/>
          <w:noProof/>
          <w:sz w:val="24"/>
          <w:szCs w:val="24"/>
          <w:u w:val="thick" w:color="000000"/>
        </w:rPr>
        <w:drawing>
          <wp:anchor distT="0" distB="0" distL="114300" distR="114300" simplePos="0" relativeHeight="251688960" behindDoc="0" locked="0" layoutInCell="1" allowOverlap="1" wp14:anchorId="351BADA5" wp14:editId="0061035A">
            <wp:simplePos x="0" y="0"/>
            <wp:positionH relativeFrom="column">
              <wp:posOffset>-161925</wp:posOffset>
            </wp:positionH>
            <wp:positionV relativeFrom="paragraph">
              <wp:posOffset>-13652</wp:posOffset>
            </wp:positionV>
            <wp:extent cx="2495429" cy="2061189"/>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urney home squa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429" cy="2061189"/>
                    </a:xfrm>
                    <a:prstGeom prst="rect">
                      <a:avLst/>
                    </a:prstGeom>
                  </pic:spPr>
                </pic:pic>
              </a:graphicData>
            </a:graphic>
            <wp14:sizeRelH relativeFrom="page">
              <wp14:pctWidth>0</wp14:pctWidth>
            </wp14:sizeRelH>
            <wp14:sizeRelV relativeFrom="page">
              <wp14:pctHeight>0</wp14:pctHeight>
            </wp14:sizeRelV>
          </wp:anchor>
        </w:drawing>
      </w:r>
    </w:p>
    <w:p w14:paraId="252AAB0E" w14:textId="13C1DA58" w:rsidR="007A4875" w:rsidRDefault="007A4875" w:rsidP="007A4875">
      <w:pPr>
        <w:rPr>
          <w:rFonts w:ascii="Arial Narrow" w:hAnsi="Arial Narrow"/>
          <w:b/>
          <w:sz w:val="24"/>
          <w:szCs w:val="24"/>
        </w:rPr>
      </w:pPr>
    </w:p>
    <w:p w14:paraId="70F10496" w14:textId="306612E6" w:rsidR="007A4875" w:rsidRDefault="007A4875" w:rsidP="007A4875">
      <w:pPr>
        <w:rPr>
          <w:rFonts w:ascii="Arial Narrow" w:hAnsi="Arial Narrow"/>
          <w:b/>
          <w:sz w:val="24"/>
          <w:szCs w:val="24"/>
        </w:rPr>
      </w:pPr>
    </w:p>
    <w:p w14:paraId="4C357FA1" w14:textId="35C9C2D1" w:rsidR="00BE67EF" w:rsidRDefault="00BE67EF" w:rsidP="007A4875">
      <w:pPr>
        <w:rPr>
          <w:rFonts w:ascii="Arial Narrow" w:hAnsi="Arial Narrow"/>
          <w:b/>
          <w:sz w:val="24"/>
          <w:szCs w:val="24"/>
        </w:rPr>
      </w:pPr>
    </w:p>
    <w:p w14:paraId="3B6E2592" w14:textId="77BBAD73" w:rsidR="00BE67EF" w:rsidRDefault="00BE67EF" w:rsidP="007A4875">
      <w:pPr>
        <w:rPr>
          <w:rFonts w:ascii="Arial Narrow" w:hAnsi="Arial Narrow"/>
          <w:b/>
          <w:sz w:val="24"/>
          <w:szCs w:val="24"/>
        </w:rPr>
      </w:pPr>
    </w:p>
    <w:p w14:paraId="6949D9CA" w14:textId="63BE4DD5" w:rsidR="007A4875" w:rsidRDefault="007A4875" w:rsidP="007A4875">
      <w:pPr>
        <w:rPr>
          <w:rFonts w:ascii="Arial Narrow" w:hAnsi="Arial Narrow"/>
          <w:b/>
          <w:sz w:val="24"/>
          <w:szCs w:val="24"/>
        </w:rPr>
      </w:pPr>
    </w:p>
    <w:p w14:paraId="5134F86B" w14:textId="3A9BBCEB" w:rsidR="007A4875" w:rsidRDefault="007A4875" w:rsidP="007A4875">
      <w:pPr>
        <w:rPr>
          <w:rFonts w:ascii="Arial Narrow" w:hAnsi="Arial Narrow"/>
          <w:b/>
          <w:sz w:val="24"/>
          <w:szCs w:val="24"/>
        </w:rPr>
      </w:pPr>
    </w:p>
    <w:p w14:paraId="782AF922" w14:textId="5E43B769" w:rsidR="007A4875" w:rsidRDefault="007A4875" w:rsidP="007A4875">
      <w:pPr>
        <w:rPr>
          <w:rFonts w:ascii="Arial Narrow" w:hAnsi="Arial Narrow"/>
          <w:b/>
          <w:sz w:val="24"/>
          <w:szCs w:val="24"/>
        </w:rPr>
      </w:pPr>
    </w:p>
    <w:p w14:paraId="23A48C82" w14:textId="66E0219E" w:rsidR="007A4875" w:rsidRDefault="002304BB" w:rsidP="007A4875">
      <w:pPr>
        <w:rPr>
          <w:rFonts w:ascii="Arial Narrow" w:hAnsi="Arial Narrow"/>
          <w:b/>
          <w:sz w:val="24"/>
          <w:szCs w:val="24"/>
        </w:rPr>
      </w:pPr>
      <w:r w:rsidRPr="00EC2800">
        <w:rPr>
          <w:rFonts w:ascii="Arial Narrow" w:hAnsi="Arial Narrow"/>
          <w:b/>
          <w:bCs/>
          <w:noProof/>
          <w:sz w:val="24"/>
          <w:szCs w:val="24"/>
          <w:u w:val="thick" w:color="000000"/>
        </w:rPr>
        <mc:AlternateContent>
          <mc:Choice Requires="wps">
            <w:drawing>
              <wp:anchor distT="45720" distB="45720" distL="114300" distR="114300" simplePos="0" relativeHeight="251687936" behindDoc="0" locked="0" layoutInCell="1" allowOverlap="1" wp14:anchorId="7BBE5E63" wp14:editId="2A869FAB">
                <wp:simplePos x="0" y="0"/>
                <wp:positionH relativeFrom="column">
                  <wp:posOffset>-85725</wp:posOffset>
                </wp:positionH>
                <wp:positionV relativeFrom="paragraph">
                  <wp:posOffset>76518</wp:posOffset>
                </wp:positionV>
                <wp:extent cx="6797040" cy="6491287"/>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491287"/>
                        </a:xfrm>
                        <a:prstGeom prst="rect">
                          <a:avLst/>
                        </a:prstGeom>
                        <a:noFill/>
                        <a:ln w="9525">
                          <a:noFill/>
                          <a:miter lim="800000"/>
                          <a:headEnd/>
                          <a:tailEnd/>
                        </a:ln>
                      </wps:spPr>
                      <wps:txbx>
                        <w:txbxContent>
                          <w:p w14:paraId="0D3BE74D" w14:textId="654B7448" w:rsidR="00B052A1" w:rsidRPr="00BE67EF" w:rsidRDefault="00B052A1" w:rsidP="00BE67EF">
                            <w:pPr>
                              <w:spacing w:after="0" w:line="240" w:lineRule="auto"/>
                              <w:rPr>
                                <w:b/>
                                <w:color w:val="7F7F7F" w:themeColor="text1" w:themeTint="80"/>
                                <w:sz w:val="96"/>
                                <w:szCs w:val="72"/>
                              </w:rPr>
                            </w:pPr>
                            <w:r>
                              <w:rPr>
                                <w:b/>
                                <w:sz w:val="96"/>
                                <w:szCs w:val="72"/>
                              </w:rPr>
                              <w:t>2021</w:t>
                            </w:r>
                            <w:r w:rsidRPr="00BE67EF">
                              <w:rPr>
                                <w:b/>
                                <w:sz w:val="96"/>
                                <w:szCs w:val="72"/>
                              </w:rPr>
                              <w:t xml:space="preserve"> HUD CONTINUUM OF CARE NOF</w:t>
                            </w:r>
                            <w:r>
                              <w:rPr>
                                <w:b/>
                                <w:sz w:val="96"/>
                                <w:szCs w:val="72"/>
                              </w:rPr>
                              <w:t>O</w:t>
                            </w:r>
                          </w:p>
                          <w:p w14:paraId="439F6972" w14:textId="6C49F10D" w:rsidR="00B052A1" w:rsidRPr="007B3B11" w:rsidRDefault="00B052A1" w:rsidP="00BE67EF">
                            <w:pPr>
                              <w:spacing w:after="0" w:line="240" w:lineRule="auto"/>
                              <w:rPr>
                                <w:b/>
                                <w:color w:val="CF7347"/>
                                <w:kern w:val="16"/>
                                <w:sz w:val="56"/>
                                <w:szCs w:val="72"/>
                              </w:rPr>
                            </w:pPr>
                            <w:r w:rsidRPr="007B3B11">
                              <w:rPr>
                                <w:b/>
                                <w:color w:val="CF7347"/>
                                <w:kern w:val="16"/>
                                <w:sz w:val="56"/>
                                <w:szCs w:val="72"/>
                              </w:rPr>
                              <w:t>Local Competition Guidelines</w:t>
                            </w:r>
                          </w:p>
                          <w:p w14:paraId="1AD69FBB" w14:textId="6967A569" w:rsidR="00B052A1" w:rsidRPr="007B3B11" w:rsidRDefault="00B052A1" w:rsidP="00BE67EF">
                            <w:pPr>
                              <w:spacing w:after="0" w:line="240" w:lineRule="auto"/>
                              <w:rPr>
                                <w:b/>
                                <w:color w:val="CF7347"/>
                                <w:kern w:val="16"/>
                                <w:sz w:val="56"/>
                                <w:szCs w:val="72"/>
                              </w:rPr>
                            </w:pPr>
                            <w:r w:rsidRPr="007B3B11">
                              <w:rPr>
                                <w:b/>
                                <w:color w:val="CF7347"/>
                                <w:kern w:val="16"/>
                                <w:sz w:val="56"/>
                                <w:szCs w:val="72"/>
                              </w:rPr>
                              <w:t>Baltimore City Continuum of Care</w:t>
                            </w:r>
                          </w:p>
                          <w:p w14:paraId="5F6D2DB4" w14:textId="77777777" w:rsidR="00B052A1" w:rsidRDefault="00B052A1" w:rsidP="00BE67EF">
                            <w:pPr>
                              <w:spacing w:after="0" w:line="240" w:lineRule="auto"/>
                              <w:rPr>
                                <w:b/>
                                <w:color w:val="CF7347"/>
                                <w:kern w:val="16"/>
                                <w:sz w:val="56"/>
                                <w:szCs w:val="72"/>
                              </w:rPr>
                            </w:pPr>
                          </w:p>
                          <w:p w14:paraId="7A7F45ED" w14:textId="77777777" w:rsidR="00B052A1" w:rsidRDefault="00B052A1" w:rsidP="00BE67EF">
                            <w:pPr>
                              <w:spacing w:after="0" w:line="240" w:lineRule="auto"/>
                              <w:rPr>
                                <w:b/>
                                <w:color w:val="CF7347"/>
                                <w:kern w:val="16"/>
                                <w:sz w:val="56"/>
                                <w:szCs w:val="72"/>
                              </w:rPr>
                            </w:pPr>
                          </w:p>
                          <w:p w14:paraId="7FAA98BE" w14:textId="43BE7CCF" w:rsidR="00B052A1" w:rsidRPr="00FA7B5A" w:rsidRDefault="00B052A1" w:rsidP="00FA7B5A">
                            <w:pPr>
                              <w:spacing w:after="0"/>
                              <w:jc w:val="center"/>
                              <w:rPr>
                                <w:rFonts w:ascii="Arial Narrow" w:hAnsi="Arial Narrow"/>
                                <w:b/>
                                <w:i/>
                                <w:iCs/>
                                <w:sz w:val="28"/>
                                <w:szCs w:val="24"/>
                              </w:rPr>
                            </w:pPr>
                          </w:p>
                          <w:p w14:paraId="4EB2B6C5" w14:textId="77777777" w:rsidR="00B052A1" w:rsidRDefault="00B052A1" w:rsidP="00BE67EF">
                            <w:pPr>
                              <w:spacing w:after="0" w:line="240" w:lineRule="auto"/>
                              <w:rPr>
                                <w:b/>
                                <w:color w:val="CF7347"/>
                                <w:kern w:val="16"/>
                                <w:sz w:val="56"/>
                                <w:szCs w:val="72"/>
                              </w:rPr>
                            </w:pPr>
                          </w:p>
                          <w:p w14:paraId="391A863F" w14:textId="77777777" w:rsidR="00B052A1" w:rsidRDefault="00B052A1" w:rsidP="00BE67EF">
                            <w:pPr>
                              <w:spacing w:after="0" w:line="240" w:lineRule="auto"/>
                              <w:rPr>
                                <w:b/>
                                <w:color w:val="CF7347"/>
                                <w:kern w:val="16"/>
                                <w:sz w:val="56"/>
                                <w:szCs w:val="72"/>
                              </w:rPr>
                            </w:pPr>
                          </w:p>
                          <w:p w14:paraId="499D0131" w14:textId="77777777" w:rsidR="00B052A1" w:rsidRPr="00BE67EF" w:rsidRDefault="00B052A1" w:rsidP="00BE67EF">
                            <w:pPr>
                              <w:spacing w:after="0" w:line="240" w:lineRule="auto"/>
                              <w:rPr>
                                <w:b/>
                                <w:color w:val="CF7347"/>
                                <w:kern w:val="16"/>
                                <w:sz w:val="44"/>
                                <w:szCs w:val="72"/>
                              </w:rPr>
                            </w:pPr>
                          </w:p>
                          <w:p w14:paraId="27439AA1" w14:textId="77777777" w:rsidR="00B052A1" w:rsidRPr="00BE67EF" w:rsidRDefault="00B052A1" w:rsidP="00BE67EF">
                            <w:pPr>
                              <w:spacing w:after="0" w:line="240" w:lineRule="auto"/>
                              <w:rPr>
                                <w:b/>
                                <w:color w:val="CF7347"/>
                                <w:kern w:val="16"/>
                                <w:sz w:val="44"/>
                                <w:szCs w:val="72"/>
                              </w:rPr>
                            </w:pPr>
                          </w:p>
                          <w:p w14:paraId="55391906" w14:textId="77777777" w:rsidR="00B052A1" w:rsidRDefault="00B052A1" w:rsidP="00BE67EF">
                            <w:pPr>
                              <w:spacing w:after="0"/>
                              <w:rPr>
                                <w:rFonts w:ascii="Arial Narrow" w:hAnsi="Arial Narrow"/>
                                <w:b/>
                                <w:sz w:val="28"/>
                                <w:szCs w:val="24"/>
                              </w:rPr>
                            </w:pPr>
                          </w:p>
                          <w:p w14:paraId="1EA1C257" w14:textId="0E107D61" w:rsidR="00B052A1" w:rsidRPr="002304BB" w:rsidRDefault="00B052A1" w:rsidP="00BE67EF">
                            <w:pPr>
                              <w:spacing w:after="0"/>
                              <w:rPr>
                                <w:rFonts w:ascii="Arial Narrow" w:hAnsi="Arial Narrow"/>
                                <w:sz w:val="28"/>
                                <w:szCs w:val="24"/>
                              </w:rPr>
                            </w:pPr>
                            <w:r w:rsidRPr="002304BB">
                              <w:rPr>
                                <w:rFonts w:ascii="Arial Narrow" w:hAnsi="Arial Narrow"/>
                                <w:b/>
                                <w:sz w:val="28"/>
                                <w:szCs w:val="24"/>
                              </w:rPr>
                              <w:t xml:space="preserve">Local Competition Guidelines Release Date: </w:t>
                            </w:r>
                            <w:r>
                              <w:rPr>
                                <w:rFonts w:ascii="Arial Narrow" w:hAnsi="Arial Narrow"/>
                                <w:b/>
                                <w:sz w:val="28"/>
                                <w:szCs w:val="24"/>
                              </w:rPr>
                              <w:t>Friday, September 3, 2021</w:t>
                            </w:r>
                          </w:p>
                          <w:p w14:paraId="6BD907DA" w14:textId="3CEAE21B" w:rsidR="00B052A1" w:rsidRPr="002304BB" w:rsidRDefault="00B052A1" w:rsidP="00BE67EF">
                            <w:pPr>
                              <w:spacing w:after="0"/>
                              <w:rPr>
                                <w:rFonts w:ascii="Arial Narrow" w:hAnsi="Arial Narrow"/>
                                <w:b/>
                                <w:sz w:val="28"/>
                                <w:szCs w:val="24"/>
                              </w:rPr>
                            </w:pPr>
                            <w:r w:rsidRPr="002304BB">
                              <w:rPr>
                                <w:rFonts w:ascii="Arial Narrow" w:hAnsi="Arial Narrow"/>
                                <w:b/>
                                <w:sz w:val="28"/>
                                <w:szCs w:val="24"/>
                              </w:rPr>
                              <w:t>Final Project Application Release Date:</w:t>
                            </w:r>
                            <w:r w:rsidRPr="002304BB">
                              <w:rPr>
                                <w:rFonts w:ascii="Arial Narrow" w:hAnsi="Arial Narrow"/>
                                <w:sz w:val="28"/>
                                <w:szCs w:val="24"/>
                              </w:rPr>
                              <w:t xml:space="preserve">  </w:t>
                            </w:r>
                            <w:r>
                              <w:rPr>
                                <w:rFonts w:ascii="Arial Narrow" w:hAnsi="Arial Narrow"/>
                                <w:b/>
                                <w:sz w:val="28"/>
                                <w:szCs w:val="24"/>
                              </w:rPr>
                              <w:t>Friday, September 3, 2021</w:t>
                            </w:r>
                          </w:p>
                          <w:p w14:paraId="0AFC9C20" w14:textId="49BF644C" w:rsidR="00B052A1" w:rsidRDefault="00B052A1" w:rsidP="00BE67EF">
                            <w:pPr>
                              <w:spacing w:after="0"/>
                              <w:rPr>
                                <w:rFonts w:ascii="Arial Narrow" w:hAnsi="Arial Narrow"/>
                                <w:b/>
                                <w:sz w:val="28"/>
                                <w:szCs w:val="24"/>
                              </w:rPr>
                            </w:pPr>
                            <w:r>
                              <w:rPr>
                                <w:rFonts w:ascii="Arial Narrow" w:hAnsi="Arial Narrow"/>
                                <w:b/>
                                <w:sz w:val="28"/>
                                <w:szCs w:val="24"/>
                              </w:rPr>
                              <w:t xml:space="preserve">All </w:t>
                            </w:r>
                            <w:r w:rsidRPr="002304BB">
                              <w:rPr>
                                <w:rFonts w:ascii="Arial Narrow" w:hAnsi="Arial Narrow"/>
                                <w:b/>
                                <w:sz w:val="28"/>
                                <w:szCs w:val="24"/>
                              </w:rPr>
                              <w:t>Project Applications Due:</w:t>
                            </w:r>
                            <w:r>
                              <w:rPr>
                                <w:rFonts w:ascii="Arial Narrow" w:hAnsi="Arial Narrow"/>
                                <w:b/>
                                <w:sz w:val="28"/>
                                <w:szCs w:val="24"/>
                              </w:rPr>
                              <w:t xml:space="preserve"> Tuesday, October 5, 2021 at 5pm </w:t>
                            </w:r>
                          </w:p>
                          <w:p w14:paraId="044E0147" w14:textId="77777777" w:rsidR="00B052A1" w:rsidRDefault="00B052A1" w:rsidP="007A48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5E63" id="_x0000_t202" coordsize="21600,21600" o:spt="202" path="m,l,21600r21600,l21600,xe">
                <v:stroke joinstyle="miter"/>
                <v:path gradientshapeok="t" o:connecttype="rect"/>
              </v:shapetype>
              <v:shape id="Text Box 2" o:spid="_x0000_s1026" type="#_x0000_t202" style="position:absolute;margin-left:-6.75pt;margin-top:6.05pt;width:535.2pt;height:511.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" filled="f" stroked="f">
                <v:textbox>
                  <w:txbxContent>
                    <w:p w14:paraId="0D3BE74D" w14:textId="654B7448" w:rsidR="00B052A1" w:rsidRPr="00BE67EF" w:rsidRDefault="00B052A1" w:rsidP="00BE67EF">
                      <w:pPr>
                        <w:spacing w:after="0" w:line="240" w:lineRule="auto"/>
                        <w:rPr>
                          <w:b/>
                          <w:color w:val="7F7F7F" w:themeColor="text1" w:themeTint="80"/>
                          <w:sz w:val="96"/>
                          <w:szCs w:val="72"/>
                        </w:rPr>
                      </w:pPr>
                      <w:r>
                        <w:rPr>
                          <w:b/>
                          <w:sz w:val="96"/>
                          <w:szCs w:val="72"/>
                        </w:rPr>
                        <w:t>2021</w:t>
                      </w:r>
                      <w:r w:rsidRPr="00BE67EF">
                        <w:rPr>
                          <w:b/>
                          <w:sz w:val="96"/>
                          <w:szCs w:val="72"/>
                        </w:rPr>
                        <w:t xml:space="preserve"> HUD CONTINUUM OF CARE NOF</w:t>
                      </w:r>
                      <w:r>
                        <w:rPr>
                          <w:b/>
                          <w:sz w:val="96"/>
                          <w:szCs w:val="72"/>
                        </w:rPr>
                        <w:t>O</w:t>
                      </w:r>
                    </w:p>
                    <w:p w14:paraId="439F6972" w14:textId="6C49F10D" w:rsidR="00B052A1" w:rsidRPr="007B3B11" w:rsidRDefault="00B052A1" w:rsidP="00BE67EF">
                      <w:pPr>
                        <w:spacing w:after="0" w:line="240" w:lineRule="auto"/>
                        <w:rPr>
                          <w:b/>
                          <w:color w:val="CF7347"/>
                          <w:kern w:val="16"/>
                          <w:sz w:val="56"/>
                          <w:szCs w:val="72"/>
                        </w:rPr>
                      </w:pPr>
                      <w:r w:rsidRPr="007B3B11">
                        <w:rPr>
                          <w:b/>
                          <w:color w:val="CF7347"/>
                          <w:kern w:val="16"/>
                          <w:sz w:val="56"/>
                          <w:szCs w:val="72"/>
                        </w:rPr>
                        <w:t>Local Competition Guidelines</w:t>
                      </w:r>
                    </w:p>
                    <w:p w14:paraId="1AD69FBB" w14:textId="6967A569" w:rsidR="00B052A1" w:rsidRPr="007B3B11" w:rsidRDefault="00B052A1" w:rsidP="00BE67EF">
                      <w:pPr>
                        <w:spacing w:after="0" w:line="240" w:lineRule="auto"/>
                        <w:rPr>
                          <w:b/>
                          <w:color w:val="CF7347"/>
                          <w:kern w:val="16"/>
                          <w:sz w:val="56"/>
                          <w:szCs w:val="72"/>
                        </w:rPr>
                      </w:pPr>
                      <w:r w:rsidRPr="007B3B11">
                        <w:rPr>
                          <w:b/>
                          <w:color w:val="CF7347"/>
                          <w:kern w:val="16"/>
                          <w:sz w:val="56"/>
                          <w:szCs w:val="72"/>
                        </w:rPr>
                        <w:t>Baltimore City Continuum of Care</w:t>
                      </w:r>
                    </w:p>
                    <w:p w14:paraId="5F6D2DB4" w14:textId="77777777" w:rsidR="00B052A1" w:rsidRDefault="00B052A1" w:rsidP="00BE67EF">
                      <w:pPr>
                        <w:spacing w:after="0" w:line="240" w:lineRule="auto"/>
                        <w:rPr>
                          <w:b/>
                          <w:color w:val="CF7347"/>
                          <w:kern w:val="16"/>
                          <w:sz w:val="56"/>
                          <w:szCs w:val="72"/>
                        </w:rPr>
                      </w:pPr>
                    </w:p>
                    <w:p w14:paraId="7A7F45ED" w14:textId="77777777" w:rsidR="00B052A1" w:rsidRDefault="00B052A1" w:rsidP="00BE67EF">
                      <w:pPr>
                        <w:spacing w:after="0" w:line="240" w:lineRule="auto"/>
                        <w:rPr>
                          <w:b/>
                          <w:color w:val="CF7347"/>
                          <w:kern w:val="16"/>
                          <w:sz w:val="56"/>
                          <w:szCs w:val="72"/>
                        </w:rPr>
                      </w:pPr>
                    </w:p>
                    <w:p w14:paraId="7FAA98BE" w14:textId="43BE7CCF" w:rsidR="00B052A1" w:rsidRPr="00FA7B5A" w:rsidRDefault="00B052A1" w:rsidP="00FA7B5A">
                      <w:pPr>
                        <w:spacing w:after="0"/>
                        <w:jc w:val="center"/>
                        <w:rPr>
                          <w:rFonts w:ascii="Arial Narrow" w:hAnsi="Arial Narrow"/>
                          <w:b/>
                          <w:i/>
                          <w:iCs/>
                          <w:sz w:val="28"/>
                          <w:szCs w:val="24"/>
                        </w:rPr>
                      </w:pPr>
                    </w:p>
                    <w:p w14:paraId="4EB2B6C5" w14:textId="77777777" w:rsidR="00B052A1" w:rsidRDefault="00B052A1" w:rsidP="00BE67EF">
                      <w:pPr>
                        <w:spacing w:after="0" w:line="240" w:lineRule="auto"/>
                        <w:rPr>
                          <w:b/>
                          <w:color w:val="CF7347"/>
                          <w:kern w:val="16"/>
                          <w:sz w:val="56"/>
                          <w:szCs w:val="72"/>
                        </w:rPr>
                      </w:pPr>
                    </w:p>
                    <w:p w14:paraId="391A863F" w14:textId="77777777" w:rsidR="00B052A1" w:rsidRDefault="00B052A1" w:rsidP="00BE67EF">
                      <w:pPr>
                        <w:spacing w:after="0" w:line="240" w:lineRule="auto"/>
                        <w:rPr>
                          <w:b/>
                          <w:color w:val="CF7347"/>
                          <w:kern w:val="16"/>
                          <w:sz w:val="56"/>
                          <w:szCs w:val="72"/>
                        </w:rPr>
                      </w:pPr>
                    </w:p>
                    <w:p w14:paraId="499D0131" w14:textId="77777777" w:rsidR="00B052A1" w:rsidRPr="00BE67EF" w:rsidRDefault="00B052A1" w:rsidP="00BE67EF">
                      <w:pPr>
                        <w:spacing w:after="0" w:line="240" w:lineRule="auto"/>
                        <w:rPr>
                          <w:b/>
                          <w:color w:val="CF7347"/>
                          <w:kern w:val="16"/>
                          <w:sz w:val="44"/>
                          <w:szCs w:val="72"/>
                        </w:rPr>
                      </w:pPr>
                    </w:p>
                    <w:p w14:paraId="27439AA1" w14:textId="77777777" w:rsidR="00B052A1" w:rsidRPr="00BE67EF" w:rsidRDefault="00B052A1" w:rsidP="00BE67EF">
                      <w:pPr>
                        <w:spacing w:after="0" w:line="240" w:lineRule="auto"/>
                        <w:rPr>
                          <w:b/>
                          <w:color w:val="CF7347"/>
                          <w:kern w:val="16"/>
                          <w:sz w:val="44"/>
                          <w:szCs w:val="72"/>
                        </w:rPr>
                      </w:pPr>
                    </w:p>
                    <w:p w14:paraId="55391906" w14:textId="77777777" w:rsidR="00B052A1" w:rsidRDefault="00B052A1" w:rsidP="00BE67EF">
                      <w:pPr>
                        <w:spacing w:after="0"/>
                        <w:rPr>
                          <w:rFonts w:ascii="Arial Narrow" w:hAnsi="Arial Narrow"/>
                          <w:b/>
                          <w:sz w:val="28"/>
                          <w:szCs w:val="24"/>
                        </w:rPr>
                      </w:pPr>
                    </w:p>
                    <w:p w14:paraId="1EA1C257" w14:textId="0E107D61" w:rsidR="00B052A1" w:rsidRPr="002304BB" w:rsidRDefault="00B052A1" w:rsidP="00BE67EF">
                      <w:pPr>
                        <w:spacing w:after="0"/>
                        <w:rPr>
                          <w:rFonts w:ascii="Arial Narrow" w:hAnsi="Arial Narrow"/>
                          <w:sz w:val="28"/>
                          <w:szCs w:val="24"/>
                        </w:rPr>
                      </w:pPr>
                      <w:r w:rsidRPr="002304BB">
                        <w:rPr>
                          <w:rFonts w:ascii="Arial Narrow" w:hAnsi="Arial Narrow"/>
                          <w:b/>
                          <w:sz w:val="28"/>
                          <w:szCs w:val="24"/>
                        </w:rPr>
                        <w:t xml:space="preserve">Local Competition Guidelines Release Date: </w:t>
                      </w:r>
                      <w:r>
                        <w:rPr>
                          <w:rFonts w:ascii="Arial Narrow" w:hAnsi="Arial Narrow"/>
                          <w:b/>
                          <w:sz w:val="28"/>
                          <w:szCs w:val="24"/>
                        </w:rPr>
                        <w:t>Friday, September 3, 2021</w:t>
                      </w:r>
                    </w:p>
                    <w:p w14:paraId="6BD907DA" w14:textId="3CEAE21B" w:rsidR="00B052A1" w:rsidRPr="002304BB" w:rsidRDefault="00B052A1" w:rsidP="00BE67EF">
                      <w:pPr>
                        <w:spacing w:after="0"/>
                        <w:rPr>
                          <w:rFonts w:ascii="Arial Narrow" w:hAnsi="Arial Narrow"/>
                          <w:b/>
                          <w:sz w:val="28"/>
                          <w:szCs w:val="24"/>
                        </w:rPr>
                      </w:pPr>
                      <w:r w:rsidRPr="002304BB">
                        <w:rPr>
                          <w:rFonts w:ascii="Arial Narrow" w:hAnsi="Arial Narrow"/>
                          <w:b/>
                          <w:sz w:val="28"/>
                          <w:szCs w:val="24"/>
                        </w:rPr>
                        <w:t>Final Project Application Release Date:</w:t>
                      </w:r>
                      <w:r w:rsidRPr="002304BB">
                        <w:rPr>
                          <w:rFonts w:ascii="Arial Narrow" w:hAnsi="Arial Narrow"/>
                          <w:sz w:val="28"/>
                          <w:szCs w:val="24"/>
                        </w:rPr>
                        <w:t xml:space="preserve">  </w:t>
                      </w:r>
                      <w:r>
                        <w:rPr>
                          <w:rFonts w:ascii="Arial Narrow" w:hAnsi="Arial Narrow"/>
                          <w:b/>
                          <w:sz w:val="28"/>
                          <w:szCs w:val="24"/>
                        </w:rPr>
                        <w:t>Friday, September 3, 2021</w:t>
                      </w:r>
                    </w:p>
                    <w:p w14:paraId="0AFC9C20" w14:textId="49BF644C" w:rsidR="00B052A1" w:rsidRDefault="00B052A1" w:rsidP="00BE67EF">
                      <w:pPr>
                        <w:spacing w:after="0"/>
                        <w:rPr>
                          <w:rFonts w:ascii="Arial Narrow" w:hAnsi="Arial Narrow"/>
                          <w:b/>
                          <w:sz w:val="28"/>
                          <w:szCs w:val="24"/>
                        </w:rPr>
                      </w:pPr>
                      <w:r>
                        <w:rPr>
                          <w:rFonts w:ascii="Arial Narrow" w:hAnsi="Arial Narrow"/>
                          <w:b/>
                          <w:sz w:val="28"/>
                          <w:szCs w:val="24"/>
                        </w:rPr>
                        <w:t xml:space="preserve">All </w:t>
                      </w:r>
                      <w:r w:rsidRPr="002304BB">
                        <w:rPr>
                          <w:rFonts w:ascii="Arial Narrow" w:hAnsi="Arial Narrow"/>
                          <w:b/>
                          <w:sz w:val="28"/>
                          <w:szCs w:val="24"/>
                        </w:rPr>
                        <w:t>Project Applications Due:</w:t>
                      </w:r>
                      <w:r>
                        <w:rPr>
                          <w:rFonts w:ascii="Arial Narrow" w:hAnsi="Arial Narrow"/>
                          <w:b/>
                          <w:sz w:val="28"/>
                          <w:szCs w:val="24"/>
                        </w:rPr>
                        <w:t xml:space="preserve"> Tuesday, October 5, 2021 at 5pm </w:t>
                      </w:r>
                    </w:p>
                    <w:p w14:paraId="044E0147" w14:textId="77777777" w:rsidR="00B052A1" w:rsidRDefault="00B052A1" w:rsidP="007A4875"/>
                  </w:txbxContent>
                </v:textbox>
              </v:shape>
            </w:pict>
          </mc:Fallback>
        </mc:AlternateContent>
      </w:r>
    </w:p>
    <w:p w14:paraId="7AAF1424" w14:textId="77777777" w:rsidR="007A4875" w:rsidRDefault="007A4875" w:rsidP="007A4875">
      <w:pPr>
        <w:rPr>
          <w:rFonts w:ascii="Arial Narrow" w:hAnsi="Arial Narrow"/>
          <w:b/>
          <w:sz w:val="24"/>
          <w:szCs w:val="24"/>
        </w:rPr>
      </w:pPr>
    </w:p>
    <w:p w14:paraId="29A49CC5" w14:textId="77777777" w:rsidR="007A4875" w:rsidRDefault="007A4875" w:rsidP="007A4875">
      <w:pPr>
        <w:rPr>
          <w:rFonts w:ascii="Arial Narrow" w:hAnsi="Arial Narrow"/>
          <w:b/>
          <w:sz w:val="24"/>
          <w:szCs w:val="24"/>
        </w:rPr>
      </w:pPr>
    </w:p>
    <w:p w14:paraId="2B1EF66D" w14:textId="77777777" w:rsidR="007A4875" w:rsidRDefault="007A4875" w:rsidP="007A4875">
      <w:pPr>
        <w:rPr>
          <w:rFonts w:ascii="Arial Narrow" w:hAnsi="Arial Narrow"/>
          <w:b/>
          <w:sz w:val="24"/>
          <w:szCs w:val="24"/>
        </w:rPr>
      </w:pPr>
    </w:p>
    <w:p w14:paraId="5DE08AAA" w14:textId="77777777" w:rsidR="007A4875" w:rsidRDefault="007A4875" w:rsidP="007A4875">
      <w:pPr>
        <w:rPr>
          <w:rFonts w:ascii="Arial Narrow" w:hAnsi="Arial Narrow"/>
          <w:b/>
          <w:sz w:val="24"/>
          <w:szCs w:val="24"/>
        </w:rPr>
      </w:pPr>
    </w:p>
    <w:p w14:paraId="0A347826" w14:textId="2D7D22EA" w:rsidR="007A4875" w:rsidRDefault="007A4875" w:rsidP="007A4875">
      <w:pPr>
        <w:rPr>
          <w:rFonts w:ascii="Arial Narrow" w:hAnsi="Arial Narrow"/>
          <w:b/>
          <w:sz w:val="24"/>
          <w:szCs w:val="24"/>
        </w:rPr>
      </w:pPr>
    </w:p>
    <w:p w14:paraId="19F1FBDC" w14:textId="77777777" w:rsidR="007A4875" w:rsidRDefault="007A4875" w:rsidP="007A4875">
      <w:pPr>
        <w:rPr>
          <w:rFonts w:ascii="Arial Narrow" w:hAnsi="Arial Narrow"/>
          <w:b/>
          <w:sz w:val="24"/>
          <w:szCs w:val="24"/>
        </w:rPr>
      </w:pPr>
    </w:p>
    <w:p w14:paraId="7357E748" w14:textId="77777777" w:rsidR="007A4875" w:rsidRDefault="007A4875" w:rsidP="007A4875">
      <w:pPr>
        <w:rPr>
          <w:rFonts w:ascii="Arial Narrow" w:hAnsi="Arial Narrow"/>
          <w:b/>
          <w:sz w:val="24"/>
          <w:szCs w:val="24"/>
        </w:rPr>
      </w:pPr>
    </w:p>
    <w:p w14:paraId="0E50B67C" w14:textId="77777777" w:rsidR="007A4875" w:rsidRDefault="007A4875" w:rsidP="007A4875">
      <w:pPr>
        <w:rPr>
          <w:rFonts w:ascii="Arial Narrow" w:hAnsi="Arial Narrow"/>
          <w:b/>
          <w:sz w:val="24"/>
          <w:szCs w:val="24"/>
        </w:rPr>
      </w:pPr>
    </w:p>
    <w:p w14:paraId="49757A4E" w14:textId="77777777" w:rsidR="007A4875" w:rsidRDefault="007A4875" w:rsidP="007A4875">
      <w:pPr>
        <w:rPr>
          <w:rFonts w:ascii="Arial Narrow" w:hAnsi="Arial Narrow"/>
          <w:b/>
          <w:sz w:val="24"/>
          <w:szCs w:val="24"/>
        </w:rPr>
      </w:pPr>
    </w:p>
    <w:p w14:paraId="3AE1D236" w14:textId="77777777" w:rsidR="007A4875" w:rsidRDefault="007A4875" w:rsidP="007A4875">
      <w:pPr>
        <w:rPr>
          <w:rFonts w:ascii="Arial Narrow" w:hAnsi="Arial Narrow"/>
          <w:b/>
          <w:sz w:val="24"/>
          <w:szCs w:val="24"/>
        </w:rPr>
      </w:pPr>
    </w:p>
    <w:p w14:paraId="044A2D39" w14:textId="77777777" w:rsidR="007A4875" w:rsidRDefault="007A4875" w:rsidP="007A4875">
      <w:pPr>
        <w:rPr>
          <w:rFonts w:ascii="Arial Narrow" w:hAnsi="Arial Narrow"/>
          <w:b/>
          <w:sz w:val="24"/>
          <w:szCs w:val="24"/>
        </w:rPr>
      </w:pPr>
    </w:p>
    <w:p w14:paraId="072210E2" w14:textId="10DA886A" w:rsidR="00BE67EF" w:rsidRDefault="00BE67EF" w:rsidP="007A4875">
      <w:pPr>
        <w:rPr>
          <w:rFonts w:ascii="Arial Narrow" w:hAnsi="Arial Narrow"/>
          <w:b/>
          <w:sz w:val="24"/>
          <w:szCs w:val="24"/>
        </w:rPr>
      </w:pPr>
    </w:p>
    <w:p w14:paraId="349B141C" w14:textId="77777777" w:rsidR="007A4875" w:rsidRDefault="007A4875" w:rsidP="007A4875">
      <w:pPr>
        <w:rPr>
          <w:rFonts w:ascii="Arial Narrow" w:hAnsi="Arial Narrow"/>
          <w:b/>
          <w:sz w:val="24"/>
          <w:szCs w:val="24"/>
        </w:rPr>
      </w:pPr>
    </w:p>
    <w:p w14:paraId="3C5F442C" w14:textId="77777777" w:rsidR="007A4875" w:rsidRDefault="007A4875" w:rsidP="007A4875">
      <w:pPr>
        <w:rPr>
          <w:rFonts w:ascii="Arial Narrow" w:hAnsi="Arial Narrow"/>
          <w:b/>
          <w:sz w:val="24"/>
          <w:szCs w:val="24"/>
        </w:rPr>
      </w:pPr>
    </w:p>
    <w:p w14:paraId="56C903EA" w14:textId="77777777" w:rsidR="00BE67EF" w:rsidRDefault="00BE67EF" w:rsidP="007A4875">
      <w:pPr>
        <w:rPr>
          <w:rFonts w:ascii="Arial Narrow" w:hAnsi="Arial Narrow"/>
          <w:b/>
          <w:sz w:val="24"/>
          <w:szCs w:val="24"/>
        </w:rPr>
      </w:pPr>
    </w:p>
    <w:p w14:paraId="4FD7F003" w14:textId="77777777" w:rsidR="00BE67EF" w:rsidRDefault="00BE67EF" w:rsidP="007A4875">
      <w:pPr>
        <w:rPr>
          <w:rFonts w:ascii="Arial Narrow" w:hAnsi="Arial Narrow"/>
          <w:b/>
          <w:sz w:val="24"/>
          <w:szCs w:val="24"/>
        </w:rPr>
      </w:pPr>
    </w:p>
    <w:p w14:paraId="4C843B81" w14:textId="77777777" w:rsidR="007A4875" w:rsidRDefault="007A4875" w:rsidP="007A4875">
      <w:pPr>
        <w:rPr>
          <w:rFonts w:ascii="Arial Narrow" w:hAnsi="Arial Narrow"/>
          <w:b/>
          <w:sz w:val="24"/>
          <w:szCs w:val="24"/>
        </w:rPr>
      </w:pPr>
    </w:p>
    <w:p w14:paraId="37DB1E15" w14:textId="5991EBB3" w:rsidR="00047825" w:rsidRDefault="00047825" w:rsidP="00386091">
      <w:pPr>
        <w:spacing w:after="0" w:line="240" w:lineRule="auto"/>
      </w:pPr>
      <w:r w:rsidRPr="00047825">
        <w:rPr>
          <w:b/>
          <w:noProof/>
          <w:color w:val="CF7347"/>
          <w:sz w:val="28"/>
        </w:rPr>
        <mc:AlternateContent>
          <mc:Choice Requires="wps">
            <w:drawing>
              <wp:anchor distT="0" distB="0" distL="114300" distR="114300" simplePos="0" relativeHeight="251660288" behindDoc="0" locked="0" layoutInCell="1" allowOverlap="1" wp14:anchorId="38798DC2" wp14:editId="7DC3AD76">
                <wp:simplePos x="0" y="0"/>
                <wp:positionH relativeFrom="column">
                  <wp:align>center</wp:align>
                </wp:positionH>
                <wp:positionV relativeFrom="paragraph">
                  <wp:posOffset>0</wp:posOffset>
                </wp:positionV>
                <wp:extent cx="682942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14470615" w14:textId="6F9AC098" w:rsidR="00B052A1" w:rsidRPr="00047825" w:rsidRDefault="00B052A1" w:rsidP="00047825">
                            <w:pPr>
                              <w:jc w:val="center"/>
                              <w:rPr>
                                <w:b/>
                                <w:color w:val="FFFFFF" w:themeColor="background1"/>
                                <w:sz w:val="32"/>
                              </w:rPr>
                            </w:pPr>
                            <w:r w:rsidRPr="00047825">
                              <w:rPr>
                                <w:b/>
                                <w:color w:val="FFFFFF" w:themeColor="background1"/>
                                <w:sz w:val="32"/>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8DC2" id="_x0000_s1027" type="#_x0000_t202" style="position:absolute;margin-left:0;margin-top:0;width:537.75pt;height:2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" fillcolor="#cf7347" stroked="f">
                <v:textbox>
                  <w:txbxContent>
                    <w:p w14:paraId="14470615" w14:textId="6F9AC098" w:rsidR="00B052A1" w:rsidRPr="00047825" w:rsidRDefault="00B052A1" w:rsidP="00047825">
                      <w:pPr>
                        <w:jc w:val="center"/>
                        <w:rPr>
                          <w:b/>
                          <w:color w:val="FFFFFF" w:themeColor="background1"/>
                          <w:sz w:val="32"/>
                        </w:rPr>
                      </w:pPr>
                      <w:r w:rsidRPr="00047825">
                        <w:rPr>
                          <w:b/>
                          <w:color w:val="FFFFFF" w:themeColor="background1"/>
                          <w:sz w:val="32"/>
                        </w:rPr>
                        <w:t>OVERVIEW</w:t>
                      </w:r>
                    </w:p>
                  </w:txbxContent>
                </v:textbox>
              </v:shape>
            </w:pict>
          </mc:Fallback>
        </mc:AlternateContent>
      </w:r>
    </w:p>
    <w:p w14:paraId="6C1DEBD6" w14:textId="77777777" w:rsidR="00047825" w:rsidRDefault="00047825" w:rsidP="00386091">
      <w:pPr>
        <w:spacing w:after="0" w:line="240" w:lineRule="auto"/>
      </w:pPr>
    </w:p>
    <w:p w14:paraId="0E73BE60" w14:textId="77777777" w:rsidR="00047825" w:rsidRDefault="00047825" w:rsidP="00386091">
      <w:pPr>
        <w:spacing w:after="0" w:line="240" w:lineRule="auto"/>
      </w:pPr>
    </w:p>
    <w:p w14:paraId="763C5C40" w14:textId="0C053AFA" w:rsidR="00783395" w:rsidRDefault="00783395" w:rsidP="00386091">
      <w:pPr>
        <w:spacing w:after="0" w:line="240" w:lineRule="auto"/>
      </w:pPr>
      <w:bookmarkStart w:id="0" w:name="overview"/>
      <w:bookmarkEnd w:id="0"/>
      <w:r>
        <w:t>Each year</w:t>
      </w:r>
      <w:r w:rsidR="00692673">
        <w:t>, the U.S. Department of Housing and Urban Development (HUD) releases the Continuum of Care (CoC)</w:t>
      </w:r>
      <w:r>
        <w:t xml:space="preserve"> Program</w:t>
      </w:r>
      <w:r w:rsidR="00692673">
        <w:t xml:space="preserve"> Notice of Funding </w:t>
      </w:r>
      <w:r w:rsidR="00FC345C">
        <w:t xml:space="preserve">Opportunity </w:t>
      </w:r>
      <w:r w:rsidR="00692673">
        <w:t>(NOF</w:t>
      </w:r>
      <w:r w:rsidR="00FC345C">
        <w:t>O</w:t>
      </w:r>
      <w:r w:rsidR="00692673">
        <w:t>)</w:t>
      </w:r>
      <w:r>
        <w:t>, which provides over $2</w:t>
      </w:r>
      <w:r w:rsidR="002314F1">
        <w:t>4</w:t>
      </w:r>
      <w:r>
        <w:t xml:space="preserve"> million dollars in homeless services funding to Baltimore for permanent supportive housing, rapid re</w:t>
      </w:r>
      <w:r w:rsidR="005460FF">
        <w:t>-</w:t>
      </w:r>
      <w:r>
        <w:t>housing, transitional housing, supportive services, and CoC infrastructure projects like HMIS</w:t>
      </w:r>
      <w:r w:rsidR="00CD3F37">
        <w:t xml:space="preserve"> (Homeless Management Information System)</w:t>
      </w:r>
      <w:r>
        <w:t xml:space="preserve"> and planning</w:t>
      </w:r>
      <w:r w:rsidR="00BE67EF">
        <w:t>.</w:t>
      </w:r>
      <w:r w:rsidR="00386091">
        <w:t xml:space="preserve">  </w:t>
      </w:r>
    </w:p>
    <w:p w14:paraId="04ABF3A5" w14:textId="77777777" w:rsidR="00386091" w:rsidRDefault="00386091" w:rsidP="00386091">
      <w:pPr>
        <w:spacing w:after="0" w:line="240" w:lineRule="auto"/>
      </w:pPr>
    </w:p>
    <w:p w14:paraId="48A94C30" w14:textId="3D69F3A4" w:rsidR="005B115B" w:rsidRDefault="00692673" w:rsidP="00386091">
      <w:pPr>
        <w:spacing w:after="0" w:line="240" w:lineRule="auto"/>
      </w:pPr>
      <w:r>
        <w:t>The competitive application requires each local Continuum of Care to rank, score, and select new an</w:t>
      </w:r>
      <w:r w:rsidR="00783395">
        <w:t xml:space="preserve">d renewal projects according to HUD’s funding priorities and project performance.   </w:t>
      </w:r>
      <w:r w:rsidR="00230BEE">
        <w:lastRenderedPageBreak/>
        <w:t xml:space="preserve">This </w:t>
      </w:r>
      <w:r w:rsidR="00047825">
        <w:t>information packet</w:t>
      </w:r>
      <w:r w:rsidR="00230BEE">
        <w:t xml:space="preserve"> </w:t>
      </w:r>
      <w:r w:rsidR="00047825">
        <w:t>includes a timeline for the local competition and details</w:t>
      </w:r>
      <w:r w:rsidR="00230BEE">
        <w:t xml:space="preserve"> how the Baltimore City Continuum of Care (Baltimore CoC) </w:t>
      </w:r>
      <w:r w:rsidR="00047825">
        <w:t xml:space="preserve">will evaluate </w:t>
      </w:r>
      <w:r w:rsidR="00230BEE">
        <w:t xml:space="preserve">renewal </w:t>
      </w:r>
      <w:r w:rsidR="00047825">
        <w:t xml:space="preserve">projects for reallocation, score and rank renewal and new projects, and </w:t>
      </w:r>
      <w:r w:rsidR="005B115B">
        <w:t xml:space="preserve">make the application </w:t>
      </w:r>
      <w:r w:rsidR="00CD3F37">
        <w:t>process available</w:t>
      </w:r>
      <w:r w:rsidR="005B115B">
        <w:t xml:space="preserve"> to the community.  </w:t>
      </w:r>
    </w:p>
    <w:p w14:paraId="6DCAAE08" w14:textId="77777777" w:rsidR="002B5D3E" w:rsidRDefault="002B5D3E" w:rsidP="00386091">
      <w:pPr>
        <w:spacing w:after="0" w:line="240" w:lineRule="auto"/>
      </w:pPr>
    </w:p>
    <w:p w14:paraId="6B316E8F" w14:textId="5C10C6C1" w:rsidR="00D75F29" w:rsidRPr="0026055F" w:rsidRDefault="00CC44C1" w:rsidP="00386091">
      <w:pPr>
        <w:spacing w:after="0" w:line="240" w:lineRule="auto"/>
      </w:pPr>
      <w:r w:rsidRPr="0026055F">
        <w:t xml:space="preserve">It is </w:t>
      </w:r>
      <w:r w:rsidR="0041276E">
        <w:t>expected</w:t>
      </w:r>
      <w:r w:rsidRPr="0026055F">
        <w:t xml:space="preserve"> that all agencies applying for new or renewal project funding read the CoC NOF</w:t>
      </w:r>
      <w:r w:rsidR="00FC345C">
        <w:t>O</w:t>
      </w:r>
      <w:r w:rsidRPr="0026055F">
        <w:t xml:space="preserve"> and available HUD resources at the </w:t>
      </w:r>
      <w:hyperlink r:id="rId9" w:history="1">
        <w:r w:rsidRPr="0026055F">
          <w:rPr>
            <w:rStyle w:val="Hyperlink"/>
          </w:rPr>
          <w:t>HUD website</w:t>
        </w:r>
      </w:hyperlink>
      <w:r w:rsidRPr="0026055F">
        <w:t>.  You can find</w:t>
      </w:r>
      <w:r w:rsidR="00AF50CC">
        <w:t xml:space="preserve"> additional</w:t>
      </w:r>
      <w:r w:rsidRPr="0026055F">
        <w:t xml:space="preserve"> resources on the </w:t>
      </w:r>
      <w:hyperlink r:id="rId10" w:history="1">
        <w:r w:rsidRPr="0026055F">
          <w:rPr>
            <w:rStyle w:val="Hyperlink"/>
          </w:rPr>
          <w:t>United States Interagency Council on Homelessness website</w:t>
        </w:r>
      </w:hyperlink>
      <w:r w:rsidRPr="0026055F">
        <w:t xml:space="preserve"> as well as the </w:t>
      </w:r>
      <w:hyperlink r:id="rId11" w:history="1">
        <w:r w:rsidRPr="0026055F">
          <w:rPr>
            <w:rStyle w:val="Hyperlink"/>
          </w:rPr>
          <w:t>National Alliance to End Homelessness</w:t>
        </w:r>
      </w:hyperlink>
      <w:r w:rsidR="0041276E">
        <w:rPr>
          <w:rStyle w:val="Hyperlink"/>
        </w:rPr>
        <w:t xml:space="preserve"> website</w:t>
      </w:r>
      <w:r w:rsidR="00AF50CC">
        <w:rPr>
          <w:rStyle w:val="Hyperlink"/>
        </w:rPr>
        <w:t xml:space="preserve"> to help support your application</w:t>
      </w:r>
      <w:r w:rsidRPr="0026055F">
        <w:t>.</w:t>
      </w:r>
    </w:p>
    <w:p w14:paraId="04E8BAF1" w14:textId="77777777" w:rsidR="00CC44C1" w:rsidRDefault="00CC44C1" w:rsidP="00386091">
      <w:pPr>
        <w:spacing w:after="0" w:line="240" w:lineRule="auto"/>
        <w:rPr>
          <w:b/>
          <w:sz w:val="24"/>
        </w:rPr>
      </w:pPr>
    </w:p>
    <w:p w14:paraId="0E9E5103" w14:textId="77777777" w:rsidR="003250B2" w:rsidRDefault="003250B2" w:rsidP="00386091">
      <w:pPr>
        <w:spacing w:after="0" w:line="240" w:lineRule="auto"/>
        <w:rPr>
          <w:b/>
          <w:sz w:val="24"/>
        </w:rPr>
      </w:pPr>
    </w:p>
    <w:p w14:paraId="74C0AAED" w14:textId="6EB813F1" w:rsidR="005B115B" w:rsidRPr="005B115B" w:rsidRDefault="005B115B" w:rsidP="00386091">
      <w:pPr>
        <w:spacing w:after="0" w:line="240" w:lineRule="auto"/>
        <w:rPr>
          <w:b/>
          <w:sz w:val="24"/>
        </w:rPr>
      </w:pPr>
      <w:r w:rsidRPr="005B115B">
        <w:rPr>
          <w:b/>
          <w:sz w:val="24"/>
        </w:rPr>
        <w:t xml:space="preserve">Designated </w:t>
      </w:r>
      <w:r w:rsidR="00FC345C">
        <w:rPr>
          <w:b/>
          <w:sz w:val="24"/>
        </w:rPr>
        <w:t>NOFO</w:t>
      </w:r>
      <w:r w:rsidR="002B5D3E">
        <w:rPr>
          <w:b/>
          <w:sz w:val="24"/>
        </w:rPr>
        <w:t xml:space="preserve"> </w:t>
      </w:r>
      <w:r>
        <w:rPr>
          <w:b/>
          <w:sz w:val="24"/>
        </w:rPr>
        <w:t>Entities</w:t>
      </w:r>
    </w:p>
    <w:p w14:paraId="29ACCF5D" w14:textId="77777777" w:rsidR="002B5D3E" w:rsidRDefault="002B5D3E" w:rsidP="002B5D3E">
      <w:pPr>
        <w:spacing w:after="0" w:line="240" w:lineRule="auto"/>
      </w:pPr>
    </w:p>
    <w:p w14:paraId="139B006B" w14:textId="41D7C4DA" w:rsidR="002B5D3E" w:rsidRDefault="00BE67EF" w:rsidP="002B5D3E">
      <w:pPr>
        <w:spacing w:after="0" w:line="240" w:lineRule="auto"/>
      </w:pPr>
      <w:r>
        <w:t xml:space="preserve">On </w:t>
      </w:r>
      <w:r w:rsidR="003E56A1">
        <w:t xml:space="preserve">December </w:t>
      </w:r>
      <w:r w:rsidR="002314F1">
        <w:t>3</w:t>
      </w:r>
      <w:r w:rsidR="003E56A1">
        <w:t>, 2019</w:t>
      </w:r>
      <w:r w:rsidR="0054368A">
        <w:t xml:space="preserve">, </w:t>
      </w:r>
      <w:r w:rsidR="005B115B">
        <w:t xml:space="preserve">the Continuum of Care board approved an updated </w:t>
      </w:r>
      <w:hyperlink r:id="rId12" w:history="1">
        <w:r w:rsidR="0041276E">
          <w:rPr>
            <w:rStyle w:val="Hyperlink"/>
          </w:rPr>
          <w:t>governance charter and bylaws</w:t>
        </w:r>
      </w:hyperlink>
      <w:r w:rsidR="005B115B">
        <w:t xml:space="preserve"> that </w:t>
      </w:r>
      <w:r w:rsidR="002B5D3E">
        <w:t xml:space="preserve">outlines the roles and responsibilities for the local </w:t>
      </w:r>
      <w:r w:rsidR="00FC345C">
        <w:t>NOFO</w:t>
      </w:r>
      <w:r w:rsidR="002B5D3E">
        <w:t xml:space="preserve"> process.  </w:t>
      </w:r>
      <w:r w:rsidR="0054368A">
        <w:t xml:space="preserve">The amendments to that version were approved by the Continuum of Care membership body on </w:t>
      </w:r>
      <w:r w:rsidR="002314F1">
        <w:t>December 10,</w:t>
      </w:r>
      <w:r w:rsidR="0054368A">
        <w:t xml:space="preserve"> 20</w:t>
      </w:r>
      <w:r w:rsidR="002314F1">
        <w:t>20</w:t>
      </w:r>
      <w:r w:rsidR="0054368A">
        <w:t xml:space="preserve">. </w:t>
      </w:r>
      <w:r w:rsidR="000843AD">
        <w:t xml:space="preserve"> The Continuum of Care Board did not make any changes to the CoC governance charter and bylaws in 2020 due to the COVID-19 pandemic. A formal Collaborative Applicant Review has been in place, and the Board will conduct an annual review of the governance charter and bylaws in 2021. </w:t>
      </w:r>
      <w:r w:rsidR="002B5D3E" w:rsidRPr="002B5D3E">
        <w:t>The Resource Allocation Committee</w:t>
      </w:r>
      <w:r w:rsidR="00A1251A">
        <w:t xml:space="preserve"> (RAC)</w:t>
      </w:r>
      <w:r w:rsidR="002C323C">
        <w:t xml:space="preserve"> </w:t>
      </w:r>
      <w:r w:rsidR="002B5D3E" w:rsidRPr="002B5D3E">
        <w:t xml:space="preserve">oversees the development of the local </w:t>
      </w:r>
      <w:r w:rsidR="00FC345C">
        <w:t>NOFO</w:t>
      </w:r>
      <w:r w:rsidR="002B5D3E">
        <w:t xml:space="preserve"> submission to HUD, which includes:</w:t>
      </w:r>
    </w:p>
    <w:p w14:paraId="3566D988" w14:textId="3C6BCB55" w:rsidR="002B5D3E" w:rsidRPr="002B5D3E" w:rsidRDefault="002B5D3E" w:rsidP="00A87A42">
      <w:pPr>
        <w:pStyle w:val="ListParagraph"/>
        <w:numPr>
          <w:ilvl w:val="0"/>
          <w:numId w:val="7"/>
        </w:numPr>
        <w:spacing w:before="240" w:after="0" w:line="240" w:lineRule="auto"/>
        <w:contextualSpacing w:val="0"/>
      </w:pPr>
      <w:r w:rsidRPr="002B5D3E">
        <w:t>Developing an annual or multi-year funding strategy for allocating HUD CoC funding according to local need, HUD policy priorities, and overall system performance</w:t>
      </w:r>
    </w:p>
    <w:p w14:paraId="45B3FF16" w14:textId="0A31CA01" w:rsidR="002B5D3E" w:rsidRPr="002B5D3E" w:rsidRDefault="002B5D3E" w:rsidP="00A87A42">
      <w:pPr>
        <w:pStyle w:val="ListParagraph"/>
        <w:numPr>
          <w:ilvl w:val="0"/>
          <w:numId w:val="7"/>
        </w:numPr>
        <w:spacing w:before="240" w:after="0" w:line="240" w:lineRule="auto"/>
        <w:contextualSpacing w:val="0"/>
      </w:pPr>
      <w:r w:rsidRPr="002B5D3E">
        <w:t>Reading and analyzing the annual Notice of Funding Availability (</w:t>
      </w:r>
      <w:r w:rsidR="00FC345C">
        <w:t>NOFO</w:t>
      </w:r>
      <w:r w:rsidRPr="002B5D3E">
        <w:t>), developing an annual reallocation strategy, developing the annual project rating and ranking criteria, utilizing performance and program data to evaluate and rank project applications</w:t>
      </w:r>
    </w:p>
    <w:p w14:paraId="254DD02D" w14:textId="77777777" w:rsidR="002B5D3E" w:rsidRPr="002B5D3E" w:rsidRDefault="002B5D3E" w:rsidP="00A87A42">
      <w:pPr>
        <w:pStyle w:val="ListParagraph"/>
        <w:numPr>
          <w:ilvl w:val="0"/>
          <w:numId w:val="7"/>
        </w:numPr>
        <w:spacing w:before="240" w:after="0" w:line="240" w:lineRule="auto"/>
        <w:contextualSpacing w:val="0"/>
      </w:pPr>
      <w:r w:rsidRPr="002B5D3E">
        <w:lastRenderedPageBreak/>
        <w:t>Developing a communications plan for informing the Continuum of Care and ensuring full participation</w:t>
      </w:r>
    </w:p>
    <w:p w14:paraId="1B74D473" w14:textId="2D0F15D2" w:rsidR="002B5D3E" w:rsidRDefault="002B5D3E" w:rsidP="00A87A42">
      <w:pPr>
        <w:pStyle w:val="ListParagraph"/>
        <w:numPr>
          <w:ilvl w:val="0"/>
          <w:numId w:val="7"/>
        </w:numPr>
        <w:spacing w:before="240" w:after="0" w:line="240" w:lineRule="auto"/>
        <w:contextualSpacing w:val="0"/>
      </w:pPr>
      <w:r w:rsidRPr="002B5D3E">
        <w:t xml:space="preserve">Overseeing the work of the Collaborative Applicant to prepare the </w:t>
      </w:r>
      <w:r w:rsidR="00FC345C">
        <w:t>NOFO</w:t>
      </w:r>
      <w:r w:rsidRPr="002B5D3E">
        <w:t xml:space="preserve"> submission</w:t>
      </w:r>
    </w:p>
    <w:p w14:paraId="35381861" w14:textId="77777777" w:rsidR="002B5D3E" w:rsidRPr="002B5D3E" w:rsidRDefault="002B5D3E" w:rsidP="00A87A42">
      <w:pPr>
        <w:pStyle w:val="ListParagraph"/>
        <w:numPr>
          <w:ilvl w:val="0"/>
          <w:numId w:val="7"/>
        </w:numPr>
        <w:spacing w:before="240" w:after="0" w:line="240" w:lineRule="auto"/>
        <w:contextualSpacing w:val="0"/>
      </w:pPr>
      <w:r w:rsidRPr="002B5D3E">
        <w:t>Approve final submission for the annual CoC application to HUD</w:t>
      </w:r>
    </w:p>
    <w:p w14:paraId="281D22CE" w14:textId="77777777" w:rsidR="007E4879" w:rsidRDefault="007E4879" w:rsidP="002B5D3E">
      <w:pPr>
        <w:spacing w:after="0" w:line="240" w:lineRule="auto"/>
      </w:pPr>
    </w:p>
    <w:p w14:paraId="41405267" w14:textId="193E4BD4" w:rsidR="002B5D3E" w:rsidRDefault="002B5D3E" w:rsidP="002B5D3E">
      <w:pPr>
        <w:spacing w:after="0" w:line="240" w:lineRule="auto"/>
      </w:pPr>
      <w:r>
        <w:t xml:space="preserve">As the Collaborative Applicant, </w:t>
      </w:r>
      <w:r w:rsidR="004F3BDA">
        <w:t>The Mayor’s Office of Homeless Services (</w:t>
      </w:r>
      <w:r>
        <w:t>MOHS</w:t>
      </w:r>
      <w:r w:rsidR="004F3BDA">
        <w:t>)</w:t>
      </w:r>
      <w:r>
        <w:t xml:space="preserve"> develops the application to HUD according to the priorities, strategy, ranking, and requirements </w:t>
      </w:r>
      <w:r w:rsidR="001D1382">
        <w:t>developed</w:t>
      </w:r>
      <w:r>
        <w:t xml:space="preserve"> by the Resource Allocation Committee</w:t>
      </w:r>
      <w:r w:rsidR="001D1382">
        <w:t xml:space="preserve"> and approved by the Continuum of Care Board</w:t>
      </w:r>
      <w:r>
        <w:t>.  The Res</w:t>
      </w:r>
      <w:r w:rsidR="0041276E">
        <w:t xml:space="preserve">ource Allocation Committee </w:t>
      </w:r>
      <w:r>
        <w:t>determine</w:t>
      </w:r>
      <w:r w:rsidR="0041276E">
        <w:t>s</w:t>
      </w:r>
      <w:r>
        <w:t xml:space="preserve"> which projects may have partial or full funding reallocated, which new projects will be included in the final ranking, and the project ranking order according to the measures included in this document.</w:t>
      </w:r>
    </w:p>
    <w:p w14:paraId="5E710B07" w14:textId="77777777" w:rsidR="002B5D3E" w:rsidRDefault="002B5D3E" w:rsidP="002B5D3E">
      <w:pPr>
        <w:spacing w:after="0" w:line="240" w:lineRule="auto"/>
      </w:pPr>
    </w:p>
    <w:p w14:paraId="09DFBFC1" w14:textId="41226A47" w:rsidR="002C2ACC" w:rsidRDefault="00C2728D" w:rsidP="008A70D4">
      <w:pPr>
        <w:spacing w:line="240" w:lineRule="auto"/>
      </w:pPr>
      <w:r>
        <w:t>A</w:t>
      </w:r>
      <w:r w:rsidR="00EF7323">
        <w:t xml:space="preserve">ll local application materials, processes, and meeting notices </w:t>
      </w:r>
      <w:r>
        <w:t xml:space="preserve">will be posted </w:t>
      </w:r>
      <w:r w:rsidR="002B5D3E">
        <w:t xml:space="preserve">to the </w:t>
      </w:r>
      <w:hyperlink r:id="rId13" w:history="1">
        <w:r w:rsidR="002B5D3E" w:rsidRPr="00B052A1">
          <w:rPr>
            <w:rStyle w:val="Hyperlink"/>
          </w:rPr>
          <w:t xml:space="preserve">Mayor’s Office of </w:t>
        </w:r>
        <w:r w:rsidR="00FF7393" w:rsidRPr="00B052A1">
          <w:rPr>
            <w:rStyle w:val="Hyperlink"/>
          </w:rPr>
          <w:t xml:space="preserve">Homeless </w:t>
        </w:r>
        <w:r w:rsidR="002B5D3E" w:rsidRPr="00B052A1">
          <w:rPr>
            <w:rStyle w:val="Hyperlink"/>
          </w:rPr>
          <w:t>Services website</w:t>
        </w:r>
      </w:hyperlink>
      <w:r w:rsidR="00D75F29">
        <w:t xml:space="preserve"> </w:t>
      </w:r>
      <w:r w:rsidR="002B5D3E">
        <w:t>and</w:t>
      </w:r>
      <w:r w:rsidR="00A1251A">
        <w:t xml:space="preserve"> sent</w:t>
      </w:r>
      <w:r w:rsidR="002B5D3E">
        <w:t xml:space="preserve"> </w:t>
      </w:r>
      <w:r w:rsidR="00823438">
        <w:t>to the CoC</w:t>
      </w:r>
      <w:r w:rsidR="002B5D3E">
        <w:t xml:space="preserve"> email listserv.  </w:t>
      </w:r>
      <w:r w:rsidR="0041276E">
        <w:t>CoC l</w:t>
      </w:r>
      <w:r w:rsidR="002B5D3E">
        <w:t xml:space="preserve">istserv subscription is available </w:t>
      </w:r>
      <w:hyperlink r:id="rId14" w:history="1">
        <w:r w:rsidR="002B5D3E" w:rsidRPr="00E37B5D">
          <w:rPr>
            <w:rStyle w:val="Hyperlink"/>
          </w:rPr>
          <w:t>here</w:t>
        </w:r>
      </w:hyperlink>
      <w:r w:rsidR="002B5D3E">
        <w:t>.</w:t>
      </w:r>
    </w:p>
    <w:tbl>
      <w:tblPr>
        <w:tblStyle w:val="TableGrid"/>
        <w:tblW w:w="10188" w:type="dxa"/>
        <w:tblLook w:val="04A0" w:firstRow="1" w:lastRow="0" w:firstColumn="1" w:lastColumn="0" w:noHBand="0" w:noVBand="1"/>
      </w:tblPr>
      <w:tblGrid>
        <w:gridCol w:w="2065"/>
        <w:gridCol w:w="8123"/>
      </w:tblGrid>
      <w:tr w:rsidR="002B5D3E" w14:paraId="583E67FB" w14:textId="77777777" w:rsidTr="00BE67EF">
        <w:trPr>
          <w:tblHeader/>
        </w:trPr>
        <w:tc>
          <w:tcPr>
            <w:tcW w:w="10188" w:type="dxa"/>
            <w:gridSpan w:val="2"/>
            <w:shd w:val="clear" w:color="auto" w:fill="97C1A6"/>
          </w:tcPr>
          <w:p w14:paraId="578527FD" w14:textId="0FADB503" w:rsidR="00C2728D" w:rsidRPr="00653AC5" w:rsidRDefault="004F3BDA" w:rsidP="00C2728D">
            <w:pPr>
              <w:jc w:val="center"/>
              <w:rPr>
                <w:b/>
                <w:color w:val="FFFFFF" w:themeColor="background1"/>
                <w:sz w:val="28"/>
              </w:rPr>
            </w:pPr>
            <w:bookmarkStart w:id="1" w:name="timeline"/>
            <w:bookmarkEnd w:id="1"/>
            <w:r>
              <w:rPr>
                <w:b/>
                <w:color w:val="FFFFFF" w:themeColor="background1"/>
                <w:sz w:val="28"/>
              </w:rPr>
              <w:t>2021</w:t>
            </w:r>
            <w:r w:rsidR="00AC39BB">
              <w:rPr>
                <w:b/>
                <w:color w:val="FFFFFF" w:themeColor="background1"/>
                <w:sz w:val="28"/>
              </w:rPr>
              <w:t xml:space="preserve"> CoC</w:t>
            </w:r>
            <w:r w:rsidR="002B5D3E" w:rsidRPr="00653AC5">
              <w:rPr>
                <w:b/>
                <w:color w:val="FFFFFF" w:themeColor="background1"/>
                <w:sz w:val="28"/>
              </w:rPr>
              <w:t xml:space="preserve"> </w:t>
            </w:r>
            <w:r w:rsidR="00FC345C">
              <w:rPr>
                <w:b/>
                <w:color w:val="FFFFFF" w:themeColor="background1"/>
                <w:sz w:val="28"/>
              </w:rPr>
              <w:t>NOFO</w:t>
            </w:r>
            <w:r w:rsidR="002B5D3E" w:rsidRPr="00653AC5">
              <w:rPr>
                <w:b/>
                <w:color w:val="FFFFFF" w:themeColor="background1"/>
                <w:sz w:val="28"/>
              </w:rPr>
              <w:t xml:space="preserve"> Timeline</w:t>
            </w:r>
            <w:r w:rsidR="00C2728D" w:rsidRPr="00653AC5">
              <w:rPr>
                <w:b/>
                <w:color w:val="FFFFFF" w:themeColor="background1"/>
                <w:sz w:val="28"/>
              </w:rPr>
              <w:t xml:space="preserve"> </w:t>
            </w:r>
          </w:p>
          <w:p w14:paraId="0F0F47B3" w14:textId="49FA7143" w:rsidR="002B5D3E" w:rsidRPr="009A1C17" w:rsidRDefault="00C2728D" w:rsidP="00127455">
            <w:pPr>
              <w:jc w:val="center"/>
              <w:rPr>
                <w:b/>
                <w:sz w:val="24"/>
              </w:rPr>
            </w:pPr>
            <w:r w:rsidRPr="00653AC5">
              <w:rPr>
                <w:b/>
                <w:color w:val="FFFFFF" w:themeColor="background1"/>
                <w:sz w:val="24"/>
              </w:rPr>
              <w:t>(</w:t>
            </w:r>
            <w:r w:rsidR="00127455">
              <w:rPr>
                <w:b/>
                <w:color w:val="FFFFFF" w:themeColor="background1"/>
                <w:sz w:val="24"/>
              </w:rPr>
              <w:t xml:space="preserve">all dates are </w:t>
            </w:r>
            <w:r w:rsidR="00C061F4">
              <w:rPr>
                <w:b/>
                <w:color w:val="FFFFFF" w:themeColor="background1"/>
                <w:sz w:val="24"/>
              </w:rPr>
              <w:t xml:space="preserve">tentative and </w:t>
            </w:r>
            <w:r w:rsidR="00127455">
              <w:rPr>
                <w:b/>
                <w:color w:val="FFFFFF" w:themeColor="background1"/>
                <w:sz w:val="24"/>
              </w:rPr>
              <w:t>subject to change</w:t>
            </w:r>
            <w:r w:rsidRPr="00653AC5">
              <w:rPr>
                <w:b/>
                <w:color w:val="FFFFFF" w:themeColor="background1"/>
                <w:sz w:val="24"/>
              </w:rPr>
              <w:t>)</w:t>
            </w:r>
          </w:p>
        </w:tc>
      </w:tr>
      <w:tr w:rsidR="001D1382" w14:paraId="20379ED3" w14:textId="77777777" w:rsidTr="001D1382">
        <w:trPr>
          <w:trHeight w:val="795"/>
        </w:trPr>
        <w:tc>
          <w:tcPr>
            <w:tcW w:w="2065" w:type="dxa"/>
          </w:tcPr>
          <w:p w14:paraId="41978469" w14:textId="69007626" w:rsidR="001D1382" w:rsidRDefault="002B1389" w:rsidP="001D1382">
            <w:pPr>
              <w:rPr>
                <w:b/>
              </w:rPr>
            </w:pPr>
            <w:r>
              <w:rPr>
                <w:b/>
              </w:rPr>
              <w:br/>
            </w:r>
            <w:r w:rsidR="004F3BDA">
              <w:rPr>
                <w:b/>
              </w:rPr>
              <w:t>May 25, 2021</w:t>
            </w:r>
          </w:p>
          <w:p w14:paraId="570E7636" w14:textId="097699D9" w:rsidR="001A2D87" w:rsidRDefault="001A2D87" w:rsidP="002B1389">
            <w:pPr>
              <w:rPr>
                <w:b/>
              </w:rPr>
            </w:pPr>
          </w:p>
        </w:tc>
        <w:tc>
          <w:tcPr>
            <w:tcW w:w="8123" w:type="dxa"/>
          </w:tcPr>
          <w:p w14:paraId="1452F7E9" w14:textId="2833AA2C" w:rsidR="001D1382" w:rsidRDefault="001D1382" w:rsidP="001D1382">
            <w:pPr>
              <w:rPr>
                <w:b/>
              </w:rPr>
            </w:pPr>
            <w:r>
              <w:rPr>
                <w:b/>
              </w:rPr>
              <w:br/>
              <w:t>Resource Allocation Committee Meeting – Approve Competition Guidelines</w:t>
            </w:r>
          </w:p>
          <w:p w14:paraId="60D9D7C6" w14:textId="470CE62D" w:rsidR="001D1382" w:rsidRPr="00574CF5" w:rsidRDefault="001D1382" w:rsidP="001D1382">
            <w:r w:rsidRPr="007B2166">
              <w:t>The Committee me</w:t>
            </w:r>
            <w:r w:rsidR="00574CF5">
              <w:t xml:space="preserve">t </w:t>
            </w:r>
            <w:r w:rsidRPr="007B2166">
              <w:t xml:space="preserve">to review and approve </w:t>
            </w:r>
            <w:r w:rsidR="00574CF5">
              <w:t xml:space="preserve">recommendations for </w:t>
            </w:r>
            <w:r w:rsidRPr="007B2166">
              <w:t>the competition timeline, reallocation practices, and scoring and ranking methodology.</w:t>
            </w:r>
          </w:p>
        </w:tc>
      </w:tr>
      <w:tr w:rsidR="00574CF5" w14:paraId="14BBCEE6" w14:textId="77777777" w:rsidTr="00AD1199">
        <w:trPr>
          <w:trHeight w:val="777"/>
        </w:trPr>
        <w:tc>
          <w:tcPr>
            <w:tcW w:w="2065" w:type="dxa"/>
          </w:tcPr>
          <w:p w14:paraId="74B09F77" w14:textId="77777777" w:rsidR="00574CF5" w:rsidRDefault="00574CF5" w:rsidP="00574CF5">
            <w:pPr>
              <w:rPr>
                <w:b/>
                <w:highlight w:val="yellow"/>
              </w:rPr>
            </w:pPr>
          </w:p>
          <w:p w14:paraId="35F35B94" w14:textId="3FA4A035" w:rsidR="00574CF5" w:rsidRDefault="004F3BDA" w:rsidP="00574CF5">
            <w:pPr>
              <w:rPr>
                <w:b/>
                <w:highlight w:val="yellow"/>
              </w:rPr>
            </w:pPr>
            <w:r>
              <w:rPr>
                <w:b/>
              </w:rPr>
              <w:t>June, 3 2021</w:t>
            </w:r>
          </w:p>
        </w:tc>
        <w:tc>
          <w:tcPr>
            <w:tcW w:w="8123" w:type="dxa"/>
          </w:tcPr>
          <w:p w14:paraId="15F24A3D" w14:textId="77777777" w:rsidR="00574CF5" w:rsidRDefault="00574CF5" w:rsidP="00574CF5">
            <w:pPr>
              <w:rPr>
                <w:b/>
              </w:rPr>
            </w:pPr>
          </w:p>
          <w:p w14:paraId="62BAF277" w14:textId="77777777" w:rsidR="00574CF5" w:rsidRDefault="00574CF5" w:rsidP="00574CF5">
            <w:pPr>
              <w:rPr>
                <w:b/>
              </w:rPr>
            </w:pPr>
            <w:r>
              <w:rPr>
                <w:b/>
              </w:rPr>
              <w:t>Continuum of Care Board – Vote to Approve Project Reallocation, Scoring, and Ranking Policies</w:t>
            </w:r>
          </w:p>
          <w:p w14:paraId="540D13C2" w14:textId="4F10C1DE" w:rsidR="00574CF5" w:rsidRPr="00574CF5" w:rsidRDefault="00574CF5" w:rsidP="00574CF5">
            <w:pPr>
              <w:rPr>
                <w:bCs/>
              </w:rPr>
            </w:pPr>
            <w:r>
              <w:rPr>
                <w:bCs/>
              </w:rPr>
              <w:t xml:space="preserve">The CoC board voted to approve the CoC </w:t>
            </w:r>
            <w:r w:rsidR="00FC345C">
              <w:rPr>
                <w:bCs/>
              </w:rPr>
              <w:t>NOFO</w:t>
            </w:r>
            <w:r>
              <w:rPr>
                <w:bCs/>
              </w:rPr>
              <w:t xml:space="preserve"> guidelines as recommended by the Resource Allocation Committee.</w:t>
            </w:r>
          </w:p>
        </w:tc>
      </w:tr>
      <w:tr w:rsidR="00421EFF" w14:paraId="5C1EB542" w14:textId="77777777" w:rsidTr="00DF42B0">
        <w:trPr>
          <w:trHeight w:val="993"/>
        </w:trPr>
        <w:tc>
          <w:tcPr>
            <w:tcW w:w="2065" w:type="dxa"/>
          </w:tcPr>
          <w:p w14:paraId="0114E7FB" w14:textId="77777777" w:rsidR="00421EFF" w:rsidRDefault="00421EFF" w:rsidP="00421EFF">
            <w:pPr>
              <w:rPr>
                <w:b/>
              </w:rPr>
            </w:pPr>
          </w:p>
          <w:p w14:paraId="1448D007" w14:textId="1A14440E" w:rsidR="00421EFF" w:rsidRDefault="00421EFF" w:rsidP="00421EFF">
            <w:pPr>
              <w:rPr>
                <w:b/>
              </w:rPr>
            </w:pPr>
            <w:r>
              <w:rPr>
                <w:b/>
              </w:rPr>
              <w:t>August 18, 2021</w:t>
            </w:r>
          </w:p>
        </w:tc>
        <w:tc>
          <w:tcPr>
            <w:tcW w:w="8123" w:type="dxa"/>
          </w:tcPr>
          <w:p w14:paraId="486169A5" w14:textId="16838596" w:rsidR="00421EFF" w:rsidRDefault="00421EFF" w:rsidP="00421EFF">
            <w:pPr>
              <w:rPr>
                <w:b/>
              </w:rPr>
            </w:pPr>
            <w:r>
              <w:rPr>
                <w:b/>
              </w:rPr>
              <w:br/>
              <w:t>HUD Continuum of Care NOFO Released</w:t>
            </w:r>
          </w:p>
        </w:tc>
      </w:tr>
      <w:tr w:rsidR="00421EFF" w14:paraId="43559131" w14:textId="77777777" w:rsidTr="00DF42B0">
        <w:trPr>
          <w:trHeight w:val="993"/>
        </w:trPr>
        <w:tc>
          <w:tcPr>
            <w:tcW w:w="2065" w:type="dxa"/>
          </w:tcPr>
          <w:p w14:paraId="134588ED" w14:textId="77777777" w:rsidR="00421EFF" w:rsidRDefault="00421EFF" w:rsidP="00421EFF">
            <w:pPr>
              <w:rPr>
                <w:b/>
              </w:rPr>
            </w:pPr>
          </w:p>
          <w:p w14:paraId="3E5A27ED" w14:textId="1F399556" w:rsidR="00421EFF" w:rsidRDefault="00421EFF" w:rsidP="00421EFF">
            <w:pPr>
              <w:rPr>
                <w:b/>
                <w:highlight w:val="yellow"/>
              </w:rPr>
            </w:pPr>
            <w:r>
              <w:rPr>
                <w:b/>
              </w:rPr>
              <w:t>September 1, 2021</w:t>
            </w:r>
          </w:p>
        </w:tc>
        <w:tc>
          <w:tcPr>
            <w:tcW w:w="8123" w:type="dxa"/>
          </w:tcPr>
          <w:p w14:paraId="4AA16B2B" w14:textId="77777777" w:rsidR="00421EFF" w:rsidRDefault="00421EFF" w:rsidP="00421EFF">
            <w:pPr>
              <w:rPr>
                <w:b/>
              </w:rPr>
            </w:pPr>
          </w:p>
          <w:p w14:paraId="2D993C72" w14:textId="0D0A49D8" w:rsidR="00421EFF" w:rsidRPr="00D75F29" w:rsidRDefault="00421EFF" w:rsidP="00421EFF">
            <w:pPr>
              <w:rPr>
                <w:b/>
              </w:rPr>
            </w:pPr>
            <w:r>
              <w:rPr>
                <w:b/>
              </w:rPr>
              <w:t>Resource Allocation Committee Meeting</w:t>
            </w:r>
          </w:p>
          <w:p w14:paraId="6E022EA6" w14:textId="027BD90B" w:rsidR="00421EFF" w:rsidRDefault="00421EFF" w:rsidP="00421EFF">
            <w:r>
              <w:t>The Resource Allocation Committee met to review the CoC NOFO Competition process and prepare for the review of individual project performance in September.</w:t>
            </w:r>
          </w:p>
          <w:p w14:paraId="0AE0487B" w14:textId="2A90275F" w:rsidR="00421EFF" w:rsidRDefault="00421EFF" w:rsidP="00421EFF"/>
          <w:p w14:paraId="23BA7635" w14:textId="09A3DA81" w:rsidR="00421EFF" w:rsidRDefault="00421EFF" w:rsidP="00421EFF">
            <w:pPr>
              <w:rPr>
                <w:b/>
              </w:rPr>
            </w:pPr>
          </w:p>
        </w:tc>
      </w:tr>
      <w:tr w:rsidR="00421EFF" w14:paraId="24688AE6" w14:textId="77777777" w:rsidTr="007B3B11">
        <w:trPr>
          <w:trHeight w:val="1785"/>
        </w:trPr>
        <w:tc>
          <w:tcPr>
            <w:tcW w:w="2065" w:type="dxa"/>
          </w:tcPr>
          <w:p w14:paraId="48DF4216" w14:textId="23494D6D" w:rsidR="00421EFF" w:rsidRPr="00DB139F" w:rsidRDefault="00421EFF" w:rsidP="00421EFF">
            <w:pPr>
              <w:rPr>
                <w:b/>
                <w:highlight w:val="yellow"/>
              </w:rPr>
            </w:pPr>
          </w:p>
          <w:p w14:paraId="67E3F958" w14:textId="738D95C0" w:rsidR="00421EFF" w:rsidRDefault="00421EFF" w:rsidP="00421EFF">
            <w:pPr>
              <w:rPr>
                <w:b/>
              </w:rPr>
            </w:pPr>
            <w:r>
              <w:rPr>
                <w:b/>
              </w:rPr>
              <w:t xml:space="preserve">September </w:t>
            </w:r>
            <w:r w:rsidR="007055CE">
              <w:rPr>
                <w:b/>
              </w:rPr>
              <w:t>3</w:t>
            </w:r>
            <w:r>
              <w:rPr>
                <w:b/>
              </w:rPr>
              <w:t>, 2021</w:t>
            </w:r>
          </w:p>
          <w:p w14:paraId="12AF3722" w14:textId="24CF4D6B" w:rsidR="00421EFF" w:rsidRDefault="00421EFF" w:rsidP="00421EFF"/>
        </w:tc>
        <w:tc>
          <w:tcPr>
            <w:tcW w:w="8123" w:type="dxa"/>
          </w:tcPr>
          <w:p w14:paraId="1E1FC4F8" w14:textId="77777777" w:rsidR="00421EFF" w:rsidRDefault="00421EFF" w:rsidP="00421EFF">
            <w:pPr>
              <w:rPr>
                <w:b/>
              </w:rPr>
            </w:pPr>
          </w:p>
          <w:p w14:paraId="43D41444" w14:textId="77777777" w:rsidR="00421EFF" w:rsidRDefault="00421EFF" w:rsidP="00421EFF">
            <w:pPr>
              <w:rPr>
                <w:b/>
              </w:rPr>
            </w:pPr>
            <w:r>
              <w:rPr>
                <w:b/>
              </w:rPr>
              <w:t>Local Competition Procedures Published</w:t>
            </w:r>
          </w:p>
          <w:p w14:paraId="3A1A5B0E" w14:textId="77777777" w:rsidR="00421EFF" w:rsidRPr="00B85541" w:rsidRDefault="00421EFF" w:rsidP="00421EFF">
            <w:pPr>
              <w:pStyle w:val="ListParagraph"/>
              <w:numPr>
                <w:ilvl w:val="0"/>
                <w:numId w:val="10"/>
              </w:numPr>
            </w:pPr>
            <w:r w:rsidRPr="00B85541">
              <w:t xml:space="preserve">Local Timeline and </w:t>
            </w:r>
            <w:r>
              <w:t>Competition Guidance Released</w:t>
            </w:r>
          </w:p>
          <w:p w14:paraId="20240693" w14:textId="420238D7" w:rsidR="00421EFF" w:rsidRDefault="00421EFF" w:rsidP="00421EFF">
            <w:pPr>
              <w:pStyle w:val="ListParagraph"/>
              <w:numPr>
                <w:ilvl w:val="0"/>
                <w:numId w:val="10"/>
              </w:numPr>
            </w:pPr>
            <w:r>
              <w:t xml:space="preserve">New and Renewal </w:t>
            </w:r>
            <w:r w:rsidRPr="00B85541">
              <w:t xml:space="preserve">Project </w:t>
            </w:r>
            <w:r>
              <w:t xml:space="preserve">Applications </w:t>
            </w:r>
            <w:r w:rsidRPr="00B85541">
              <w:t>Released</w:t>
            </w:r>
          </w:p>
          <w:p w14:paraId="211CEAC1" w14:textId="77777777" w:rsidR="00421EFF" w:rsidRDefault="00421EFF" w:rsidP="00421EFF"/>
          <w:p w14:paraId="66E2C33B" w14:textId="3BC20568" w:rsidR="00421EFF" w:rsidRDefault="00421EFF" w:rsidP="000843AD">
            <w:r>
              <w:t>The materials  posted to the MOHS website and</w:t>
            </w:r>
            <w:r w:rsidR="000843AD">
              <w:t xml:space="preserve"> sent to the</w:t>
            </w:r>
            <w:r>
              <w:t xml:space="preserve"> CoC</w:t>
            </w:r>
            <w:r w:rsidR="000843AD">
              <w:t xml:space="preserve"> mailing list</w:t>
            </w:r>
            <w:r>
              <w:t>.</w:t>
            </w:r>
          </w:p>
        </w:tc>
      </w:tr>
      <w:tr w:rsidR="000843AD" w14:paraId="2FAA1773" w14:textId="77777777" w:rsidTr="007B3B11">
        <w:trPr>
          <w:trHeight w:val="1785"/>
        </w:trPr>
        <w:tc>
          <w:tcPr>
            <w:tcW w:w="2065" w:type="dxa"/>
          </w:tcPr>
          <w:p w14:paraId="55ACED3E" w14:textId="77777777" w:rsidR="000843AD" w:rsidRDefault="000843AD" w:rsidP="000843AD">
            <w:pPr>
              <w:rPr>
                <w:b/>
              </w:rPr>
            </w:pPr>
          </w:p>
          <w:p w14:paraId="66165018" w14:textId="653F0441" w:rsidR="000843AD" w:rsidRDefault="000843AD" w:rsidP="000843AD">
            <w:pPr>
              <w:rPr>
                <w:b/>
              </w:rPr>
            </w:pPr>
            <w:r>
              <w:rPr>
                <w:b/>
              </w:rPr>
              <w:t>September 16, 2021</w:t>
            </w:r>
            <w:r w:rsidR="008D36DF">
              <w:rPr>
                <w:b/>
              </w:rPr>
              <w:t xml:space="preserve"> from 11:30am – 1:00pm on GoToWebinar</w:t>
            </w:r>
          </w:p>
          <w:p w14:paraId="010B8A21" w14:textId="77777777" w:rsidR="000843AD" w:rsidRDefault="000843AD" w:rsidP="000843AD">
            <w:pPr>
              <w:rPr>
                <w:b/>
              </w:rPr>
            </w:pPr>
          </w:p>
          <w:p w14:paraId="7471F72C" w14:textId="77777777" w:rsidR="000843AD" w:rsidRPr="00DB139F" w:rsidRDefault="000843AD" w:rsidP="000843AD">
            <w:pPr>
              <w:rPr>
                <w:b/>
                <w:highlight w:val="yellow"/>
              </w:rPr>
            </w:pPr>
          </w:p>
        </w:tc>
        <w:tc>
          <w:tcPr>
            <w:tcW w:w="8123" w:type="dxa"/>
          </w:tcPr>
          <w:p w14:paraId="32BECC8F" w14:textId="77777777" w:rsidR="000843AD" w:rsidRDefault="000843AD" w:rsidP="000843AD">
            <w:pPr>
              <w:rPr>
                <w:b/>
              </w:rPr>
            </w:pPr>
          </w:p>
          <w:p w14:paraId="5CBA691C" w14:textId="7D7283AE" w:rsidR="000843AD" w:rsidRDefault="000843AD" w:rsidP="000843AD">
            <w:pPr>
              <w:rPr>
                <w:b/>
              </w:rPr>
            </w:pPr>
            <w:r>
              <w:rPr>
                <w:b/>
              </w:rPr>
              <w:t>NOFO</w:t>
            </w:r>
            <w:r w:rsidR="008D36DF">
              <w:rPr>
                <w:b/>
              </w:rPr>
              <w:t xml:space="preserve"> Bidder’s Conference</w:t>
            </w:r>
            <w:r w:rsidRPr="00761F05">
              <w:rPr>
                <w:b/>
              </w:rPr>
              <w:t xml:space="preserve"> </w:t>
            </w:r>
          </w:p>
          <w:p w14:paraId="7C26D29C" w14:textId="3EC76806" w:rsidR="008D36DF" w:rsidRDefault="000843AD" w:rsidP="008D36DF">
            <w:r>
              <w:t>This webinar is designed for service providers applying for renewal or new project funding in the local FY</w:t>
            </w:r>
            <w:r w:rsidR="008D36DF">
              <w:t xml:space="preserve"> </w:t>
            </w:r>
            <w:r>
              <w:t xml:space="preserve">2021 Continuum of Care Program Competition. </w:t>
            </w:r>
          </w:p>
          <w:p w14:paraId="36161F23" w14:textId="77777777" w:rsidR="008D36DF" w:rsidRDefault="008D36DF" w:rsidP="008D36DF"/>
          <w:p w14:paraId="12EE4C50" w14:textId="77777777" w:rsidR="000843AD" w:rsidRDefault="00B052A1" w:rsidP="008D36DF">
            <w:hyperlink r:id="rId15" w:history="1">
              <w:r w:rsidR="008D36DF" w:rsidRPr="008D36DF">
                <w:rPr>
                  <w:rStyle w:val="Hyperlink"/>
                </w:rPr>
                <w:t>Register for the Bidder’s Conference Here</w:t>
              </w:r>
            </w:hyperlink>
          </w:p>
          <w:p w14:paraId="56D623AB" w14:textId="77777777" w:rsidR="008D36DF" w:rsidRDefault="008D36DF" w:rsidP="008D36DF"/>
          <w:p w14:paraId="532438F6" w14:textId="054BF0C9" w:rsidR="008D36DF" w:rsidRPr="007055CE" w:rsidRDefault="008D36DF" w:rsidP="008D36DF">
            <w:r>
              <w:t xml:space="preserve">The webinar will be recorded and posted to the </w:t>
            </w:r>
            <w:r w:rsidRPr="007777BB">
              <w:t>MOHS website</w:t>
            </w:r>
            <w:r>
              <w:t xml:space="preserve">. </w:t>
            </w:r>
          </w:p>
        </w:tc>
      </w:tr>
      <w:tr w:rsidR="007055CE" w14:paraId="69E40B4F" w14:textId="77777777" w:rsidTr="007B3B11">
        <w:trPr>
          <w:trHeight w:val="1785"/>
        </w:trPr>
        <w:tc>
          <w:tcPr>
            <w:tcW w:w="2065" w:type="dxa"/>
          </w:tcPr>
          <w:p w14:paraId="5253789B" w14:textId="77777777" w:rsidR="007055CE" w:rsidRDefault="007055CE" w:rsidP="000843AD">
            <w:pPr>
              <w:rPr>
                <w:b/>
              </w:rPr>
            </w:pPr>
          </w:p>
          <w:p w14:paraId="0741CC32" w14:textId="0358D26B" w:rsidR="007055CE" w:rsidRDefault="007055CE" w:rsidP="007055CE">
            <w:pPr>
              <w:rPr>
                <w:b/>
              </w:rPr>
            </w:pPr>
            <w:r>
              <w:rPr>
                <w:b/>
              </w:rPr>
              <w:t>September 17, 2021</w:t>
            </w:r>
          </w:p>
        </w:tc>
        <w:tc>
          <w:tcPr>
            <w:tcW w:w="8123" w:type="dxa"/>
          </w:tcPr>
          <w:p w14:paraId="6E7BCED8" w14:textId="77777777" w:rsidR="007055CE" w:rsidRDefault="007055CE" w:rsidP="000843AD">
            <w:pPr>
              <w:rPr>
                <w:b/>
              </w:rPr>
            </w:pPr>
          </w:p>
          <w:p w14:paraId="62846A37" w14:textId="655EBD12" w:rsidR="007055CE" w:rsidRDefault="007055CE" w:rsidP="007055CE">
            <w:pPr>
              <w:rPr>
                <w:b/>
              </w:rPr>
            </w:pPr>
            <w:r>
              <w:rPr>
                <w:b/>
              </w:rPr>
              <w:t xml:space="preserve">NOFO FAQs Posted </w:t>
            </w:r>
            <w:hyperlink r:id="rId16" w:history="1">
              <w:r w:rsidR="00A53102" w:rsidRPr="00A53102">
                <w:rPr>
                  <w:rStyle w:val="Hyperlink"/>
                  <w:b/>
                </w:rPr>
                <w:t>Here</w:t>
              </w:r>
            </w:hyperlink>
          </w:p>
          <w:p w14:paraId="02434613" w14:textId="43ED7644" w:rsidR="007055CE" w:rsidRPr="00F1724C" w:rsidRDefault="007055CE" w:rsidP="00A53102">
            <w:r>
              <w:t xml:space="preserve">FAQs from the Bidder’s Conference </w:t>
            </w:r>
            <w:r w:rsidR="00A53102">
              <w:t xml:space="preserve">will be posted to the MOHS website under the FY 21 CoC Competition under Grant Opportunities. </w:t>
            </w:r>
            <w:r>
              <w:t xml:space="preserve">Additionally, interested applicants can email </w:t>
            </w:r>
            <w:hyperlink r:id="rId17" w:history="1">
              <w:r w:rsidR="00F1724C" w:rsidRPr="0043276E">
                <w:rPr>
                  <w:rStyle w:val="Hyperlink"/>
                </w:rPr>
                <w:t>HSPApplications@baltimorecity.gov</w:t>
              </w:r>
            </w:hyperlink>
            <w:r w:rsidR="00F1724C">
              <w:t xml:space="preserve"> </w:t>
            </w:r>
            <w:r>
              <w:t xml:space="preserve">for additional technical questions about the local RFP and guidance. MOHS will post all questions to the website until </w:t>
            </w:r>
            <w:r w:rsidR="00A53102">
              <w:t>September 28</w:t>
            </w:r>
            <w:r w:rsidR="00A53102" w:rsidRPr="00A53102">
              <w:rPr>
                <w:vertAlign w:val="superscript"/>
              </w:rPr>
              <w:t>th</w:t>
            </w:r>
            <w:r w:rsidR="00A53102">
              <w:t xml:space="preserve">.  </w:t>
            </w:r>
          </w:p>
        </w:tc>
      </w:tr>
      <w:tr w:rsidR="000843AD" w14:paraId="191B1922" w14:textId="77777777" w:rsidTr="00C3582F">
        <w:trPr>
          <w:trHeight w:val="1605"/>
        </w:trPr>
        <w:tc>
          <w:tcPr>
            <w:tcW w:w="2065" w:type="dxa"/>
          </w:tcPr>
          <w:p w14:paraId="4568C7E6" w14:textId="77777777" w:rsidR="000843AD" w:rsidRDefault="000843AD" w:rsidP="000843AD">
            <w:pPr>
              <w:rPr>
                <w:b/>
              </w:rPr>
            </w:pPr>
          </w:p>
          <w:p w14:paraId="74AE73F6" w14:textId="19135078" w:rsidR="000843AD" w:rsidRDefault="000843AD" w:rsidP="000843AD">
            <w:pPr>
              <w:rPr>
                <w:b/>
              </w:rPr>
            </w:pPr>
            <w:r>
              <w:rPr>
                <w:b/>
              </w:rPr>
              <w:t>September 2</w:t>
            </w:r>
            <w:r w:rsidR="00B052A1">
              <w:rPr>
                <w:b/>
              </w:rPr>
              <w:t>9</w:t>
            </w:r>
            <w:r>
              <w:rPr>
                <w:b/>
              </w:rPr>
              <w:t>, 2021</w:t>
            </w:r>
          </w:p>
        </w:tc>
        <w:tc>
          <w:tcPr>
            <w:tcW w:w="8123" w:type="dxa"/>
          </w:tcPr>
          <w:p w14:paraId="5484803C" w14:textId="77777777" w:rsidR="000843AD" w:rsidRDefault="000843AD" w:rsidP="000843AD">
            <w:pPr>
              <w:rPr>
                <w:b/>
              </w:rPr>
            </w:pPr>
          </w:p>
          <w:p w14:paraId="7A385310" w14:textId="5F338718" w:rsidR="000843AD" w:rsidRPr="00D75F29" w:rsidRDefault="000843AD" w:rsidP="000843AD">
            <w:pPr>
              <w:rPr>
                <w:b/>
              </w:rPr>
            </w:pPr>
            <w:r>
              <w:rPr>
                <w:b/>
              </w:rPr>
              <w:t>Resource Allocation Committee Meeting – Renewal Project Performance Review</w:t>
            </w:r>
          </w:p>
          <w:p w14:paraId="63A3AC6F" w14:textId="2998B6A3" w:rsidR="000843AD" w:rsidRDefault="000843AD" w:rsidP="000843AD">
            <w:pPr>
              <w:rPr>
                <w:b/>
              </w:rPr>
            </w:pPr>
            <w:r>
              <w:t xml:space="preserve">The Resource Allocation Committee meets to review renewal project performance and determine which projects will have a reduction or elimination of funding through reallocation.  </w:t>
            </w:r>
          </w:p>
        </w:tc>
      </w:tr>
      <w:tr w:rsidR="002B3ED5" w14:paraId="0D2B1CF2" w14:textId="77777777" w:rsidTr="00C3582F">
        <w:trPr>
          <w:trHeight w:val="1605"/>
        </w:trPr>
        <w:tc>
          <w:tcPr>
            <w:tcW w:w="2065" w:type="dxa"/>
          </w:tcPr>
          <w:p w14:paraId="7B1F82C6" w14:textId="77777777" w:rsidR="002B3ED5" w:rsidRPr="00A97C5B" w:rsidRDefault="002B3ED5" w:rsidP="002B3ED5"/>
          <w:p w14:paraId="02E8DCFF" w14:textId="77777777" w:rsidR="002B3ED5" w:rsidRPr="00A97C5B" w:rsidRDefault="002B3ED5" w:rsidP="002B3ED5">
            <w:pPr>
              <w:rPr>
                <w:b/>
              </w:rPr>
            </w:pPr>
            <w:r>
              <w:rPr>
                <w:b/>
              </w:rPr>
              <w:t>October 5, 2021 by 5:00 PM</w:t>
            </w:r>
          </w:p>
          <w:p w14:paraId="6FE68F99" w14:textId="77777777" w:rsidR="002B3ED5" w:rsidRDefault="002B3ED5" w:rsidP="002B3ED5">
            <w:pPr>
              <w:rPr>
                <w:b/>
              </w:rPr>
            </w:pPr>
          </w:p>
        </w:tc>
        <w:tc>
          <w:tcPr>
            <w:tcW w:w="8123" w:type="dxa"/>
          </w:tcPr>
          <w:p w14:paraId="3A72C7E0" w14:textId="77777777" w:rsidR="002B3ED5" w:rsidRPr="00A97C5B" w:rsidRDefault="002B3ED5" w:rsidP="002B3ED5"/>
          <w:p w14:paraId="606AC0C8" w14:textId="77777777" w:rsidR="002B3ED5" w:rsidRPr="00A97C5B" w:rsidRDefault="002B3ED5" w:rsidP="002B3ED5">
            <w:pPr>
              <w:rPr>
                <w:b/>
              </w:rPr>
            </w:pPr>
            <w:r>
              <w:rPr>
                <w:b/>
              </w:rPr>
              <w:t xml:space="preserve">DEADLINE:  </w:t>
            </w:r>
            <w:r w:rsidRPr="00A97C5B">
              <w:rPr>
                <w:b/>
              </w:rPr>
              <w:t>New an</w:t>
            </w:r>
            <w:r>
              <w:rPr>
                <w:b/>
              </w:rPr>
              <w:t xml:space="preserve">d Renewal Project Applications </w:t>
            </w:r>
            <w:r w:rsidRPr="00A97C5B">
              <w:rPr>
                <w:b/>
              </w:rPr>
              <w:t xml:space="preserve">Due </w:t>
            </w:r>
            <w:r>
              <w:rPr>
                <w:b/>
              </w:rPr>
              <w:t>by 5:00pm on Tuesday, October 5</w:t>
            </w:r>
            <w:r w:rsidRPr="003A580B">
              <w:rPr>
                <w:b/>
                <w:vertAlign w:val="superscript"/>
              </w:rPr>
              <w:t>th</w:t>
            </w:r>
            <w:r>
              <w:rPr>
                <w:b/>
              </w:rPr>
              <w:t xml:space="preserve">. </w:t>
            </w:r>
          </w:p>
          <w:p w14:paraId="7A72926B" w14:textId="365758D7" w:rsidR="002B3ED5" w:rsidRPr="00A97C5B" w:rsidRDefault="002B3ED5" w:rsidP="002B3ED5">
            <w:r w:rsidRPr="00A97C5B">
              <w:t xml:space="preserve">Projects must submit </w:t>
            </w:r>
            <w:r>
              <w:t xml:space="preserve">all </w:t>
            </w:r>
            <w:r w:rsidRPr="00A97C5B">
              <w:t>required materials</w:t>
            </w:r>
            <w:r>
              <w:t>, including supporting documentation and match documentation</w:t>
            </w:r>
            <w:r w:rsidRPr="00A97C5B">
              <w:t xml:space="preserve"> to </w:t>
            </w:r>
            <w:hyperlink r:id="rId18" w:history="1">
              <w:r w:rsidR="00F1724C" w:rsidRPr="0043276E">
                <w:rPr>
                  <w:rStyle w:val="Hyperlink"/>
                </w:rPr>
                <w:t>HSPApplications@baltimorecity.gov</w:t>
              </w:r>
            </w:hyperlink>
            <w:r w:rsidRPr="00A97C5B">
              <w:t xml:space="preserve">. </w:t>
            </w:r>
          </w:p>
          <w:p w14:paraId="7B1FC73B" w14:textId="77777777" w:rsidR="002B3ED5" w:rsidRDefault="002B3ED5" w:rsidP="002B3ED5">
            <w:pPr>
              <w:rPr>
                <w:b/>
              </w:rPr>
            </w:pPr>
          </w:p>
        </w:tc>
      </w:tr>
      <w:tr w:rsidR="002B3ED5" w14:paraId="394207F3" w14:textId="77777777" w:rsidTr="00D37CE6">
        <w:trPr>
          <w:trHeight w:val="858"/>
        </w:trPr>
        <w:tc>
          <w:tcPr>
            <w:tcW w:w="2065" w:type="dxa"/>
          </w:tcPr>
          <w:p w14:paraId="59E9C10E" w14:textId="77777777" w:rsidR="002B3ED5" w:rsidRDefault="002B3ED5" w:rsidP="002B3ED5">
            <w:pPr>
              <w:rPr>
                <w:b/>
              </w:rPr>
            </w:pPr>
          </w:p>
          <w:p w14:paraId="2CBE7E48" w14:textId="4F5BD027" w:rsidR="002B3ED5" w:rsidRDefault="002B3ED5" w:rsidP="002B3ED5">
            <w:pPr>
              <w:rPr>
                <w:b/>
              </w:rPr>
            </w:pPr>
            <w:r>
              <w:rPr>
                <w:b/>
              </w:rPr>
              <w:t>October 15, 2021</w:t>
            </w:r>
          </w:p>
        </w:tc>
        <w:tc>
          <w:tcPr>
            <w:tcW w:w="8123" w:type="dxa"/>
          </w:tcPr>
          <w:p w14:paraId="6F9D2726" w14:textId="77777777" w:rsidR="002B3ED5" w:rsidRDefault="002B3ED5" w:rsidP="002B3ED5">
            <w:pPr>
              <w:rPr>
                <w:b/>
              </w:rPr>
            </w:pPr>
          </w:p>
          <w:p w14:paraId="22FF5A90" w14:textId="5FDFFE60" w:rsidR="002B3ED5" w:rsidRDefault="002B3ED5" w:rsidP="002B3ED5">
            <w:pPr>
              <w:rPr>
                <w:b/>
              </w:rPr>
            </w:pPr>
            <w:r>
              <w:rPr>
                <w:b/>
              </w:rPr>
              <w:t xml:space="preserve">Reallocation Notifications Issued to Renewal Projects indicating whether project is rejected or reduced. </w:t>
            </w:r>
          </w:p>
        </w:tc>
      </w:tr>
      <w:tr w:rsidR="002B3ED5" w14:paraId="18641E65" w14:textId="77777777" w:rsidTr="00C3582F">
        <w:trPr>
          <w:trHeight w:val="1605"/>
        </w:trPr>
        <w:tc>
          <w:tcPr>
            <w:tcW w:w="2065" w:type="dxa"/>
          </w:tcPr>
          <w:p w14:paraId="337B58D6" w14:textId="77777777" w:rsidR="002B3ED5" w:rsidRDefault="002B3ED5" w:rsidP="002B3ED5">
            <w:pPr>
              <w:rPr>
                <w:b/>
              </w:rPr>
            </w:pPr>
          </w:p>
          <w:p w14:paraId="655ACD35" w14:textId="763A5D49" w:rsidR="002B3ED5" w:rsidRDefault="002B3ED5" w:rsidP="002B3ED5">
            <w:pPr>
              <w:rPr>
                <w:b/>
              </w:rPr>
            </w:pPr>
            <w:r>
              <w:rPr>
                <w:b/>
              </w:rPr>
              <w:t>October 20, 2021</w:t>
            </w:r>
          </w:p>
        </w:tc>
        <w:tc>
          <w:tcPr>
            <w:tcW w:w="8123" w:type="dxa"/>
          </w:tcPr>
          <w:p w14:paraId="7061F005" w14:textId="77777777" w:rsidR="002B3ED5" w:rsidRDefault="002B3ED5" w:rsidP="002B3ED5">
            <w:pPr>
              <w:rPr>
                <w:b/>
              </w:rPr>
            </w:pPr>
          </w:p>
          <w:p w14:paraId="1923BDA2" w14:textId="77777777" w:rsidR="002B3ED5" w:rsidRDefault="002B3ED5" w:rsidP="002B3ED5">
            <w:pPr>
              <w:rPr>
                <w:b/>
              </w:rPr>
            </w:pPr>
            <w:r>
              <w:rPr>
                <w:b/>
              </w:rPr>
              <w:t>Renewal Project Reallocation Appeals Due</w:t>
            </w:r>
          </w:p>
          <w:p w14:paraId="5FD78D21" w14:textId="36257D2D" w:rsidR="002B3ED5" w:rsidRDefault="002B3ED5" w:rsidP="00F1724C">
            <w:r w:rsidRPr="00D37CE6">
              <w:t xml:space="preserve">To appeal a reallocation decision, affected renewal projects must submit a formal letter to the attention of the CoC Executive Committee to </w:t>
            </w:r>
            <w:hyperlink r:id="rId19" w:history="1">
              <w:r w:rsidR="00F1724C" w:rsidRPr="0043276E">
                <w:rPr>
                  <w:rStyle w:val="Hyperlink"/>
                </w:rPr>
                <w:t>HSPApplications@baltimorecity.gov</w:t>
              </w:r>
            </w:hyperlink>
            <w:r w:rsidR="00F1724C" w:rsidRPr="00A97C5B">
              <w:t>.</w:t>
            </w:r>
            <w:r w:rsidRPr="00D37CE6">
              <w:t xml:space="preserve">  The letter must include the name of the project, grant number, and justification/reasoning supporting the appeal.</w:t>
            </w:r>
          </w:p>
          <w:p w14:paraId="677F4417" w14:textId="4175D0C9" w:rsidR="002B3ED5" w:rsidRPr="00D37CE6" w:rsidRDefault="002B3ED5" w:rsidP="002B3ED5"/>
        </w:tc>
      </w:tr>
      <w:tr w:rsidR="002B3ED5" w14:paraId="4884E7BE" w14:textId="77777777" w:rsidTr="00C3582F">
        <w:trPr>
          <w:trHeight w:val="1605"/>
        </w:trPr>
        <w:tc>
          <w:tcPr>
            <w:tcW w:w="2065" w:type="dxa"/>
          </w:tcPr>
          <w:p w14:paraId="51606A6A" w14:textId="77777777" w:rsidR="002B3ED5" w:rsidRDefault="002B3ED5" w:rsidP="002B3ED5">
            <w:pPr>
              <w:rPr>
                <w:b/>
              </w:rPr>
            </w:pPr>
          </w:p>
          <w:p w14:paraId="51424C2C" w14:textId="3A38E0E2" w:rsidR="002B3ED5" w:rsidRPr="00D37CE6" w:rsidRDefault="002B3ED5" w:rsidP="002B3ED5">
            <w:pPr>
              <w:rPr>
                <w:b/>
              </w:rPr>
            </w:pPr>
            <w:r>
              <w:rPr>
                <w:b/>
              </w:rPr>
              <w:t>October 2</w:t>
            </w:r>
            <w:r w:rsidR="00B052A1">
              <w:rPr>
                <w:b/>
              </w:rPr>
              <w:t>0</w:t>
            </w:r>
            <w:r>
              <w:rPr>
                <w:b/>
              </w:rPr>
              <w:t>, 2021</w:t>
            </w:r>
          </w:p>
          <w:p w14:paraId="581D9BD4" w14:textId="7533C38F" w:rsidR="002B3ED5" w:rsidRDefault="002B3ED5" w:rsidP="002B3ED5"/>
        </w:tc>
        <w:tc>
          <w:tcPr>
            <w:tcW w:w="8123" w:type="dxa"/>
          </w:tcPr>
          <w:p w14:paraId="7CBC1E4B" w14:textId="77777777" w:rsidR="002B3ED5" w:rsidRDefault="002B3ED5" w:rsidP="002B3ED5">
            <w:pPr>
              <w:rPr>
                <w:b/>
              </w:rPr>
            </w:pPr>
          </w:p>
          <w:p w14:paraId="7FD5E654" w14:textId="16733408" w:rsidR="002B3ED5" w:rsidRPr="00D75F29" w:rsidRDefault="002B3ED5" w:rsidP="002B3ED5">
            <w:pPr>
              <w:rPr>
                <w:b/>
              </w:rPr>
            </w:pPr>
            <w:r>
              <w:rPr>
                <w:b/>
              </w:rPr>
              <w:t>Resource Allocation Committee Meeting – Select New Projects, Approve Project Ranking</w:t>
            </w:r>
          </w:p>
          <w:p w14:paraId="02EFE731" w14:textId="6188B716" w:rsidR="002B3ED5" w:rsidRPr="00C2728D" w:rsidRDefault="002B3ED5" w:rsidP="002B3ED5">
            <w:r>
              <w:t xml:space="preserve">The Resource Allocation Committee meets to select which new projects will be included in the CoC’s application to HUD, in addition to approving the final project ranking.  </w:t>
            </w:r>
          </w:p>
        </w:tc>
      </w:tr>
      <w:tr w:rsidR="002B3ED5" w14:paraId="6E637899" w14:textId="77777777" w:rsidTr="00BE67EF">
        <w:trPr>
          <w:trHeight w:val="1173"/>
        </w:trPr>
        <w:tc>
          <w:tcPr>
            <w:tcW w:w="2065" w:type="dxa"/>
          </w:tcPr>
          <w:p w14:paraId="5779CED5" w14:textId="34C6C504" w:rsidR="002B3ED5" w:rsidRPr="00BC764F" w:rsidRDefault="002B3ED5" w:rsidP="002B539D">
            <w:pPr>
              <w:rPr>
                <w:b/>
              </w:rPr>
            </w:pPr>
            <w:r>
              <w:br/>
            </w:r>
            <w:r w:rsidR="002B539D">
              <w:rPr>
                <w:b/>
              </w:rPr>
              <w:t>October 29, 2021</w:t>
            </w:r>
          </w:p>
        </w:tc>
        <w:tc>
          <w:tcPr>
            <w:tcW w:w="8123" w:type="dxa"/>
          </w:tcPr>
          <w:p w14:paraId="6A858E5B" w14:textId="77777777" w:rsidR="002B3ED5" w:rsidRDefault="002B3ED5" w:rsidP="002B3ED5">
            <w:pPr>
              <w:pStyle w:val="ListParagraph"/>
              <w:ind w:left="365"/>
              <w:rPr>
                <w:b/>
              </w:rPr>
            </w:pPr>
          </w:p>
          <w:p w14:paraId="17345142" w14:textId="3B6D4890" w:rsidR="002B3ED5" w:rsidRPr="00BC764F" w:rsidRDefault="002B3ED5" w:rsidP="002B3ED5">
            <w:pPr>
              <w:rPr>
                <w:b/>
              </w:rPr>
            </w:pPr>
            <w:r w:rsidRPr="00BC764F">
              <w:rPr>
                <w:b/>
              </w:rPr>
              <w:t>Final Project Ranking Sent to CoC</w:t>
            </w:r>
          </w:p>
          <w:p w14:paraId="4D1E1C47" w14:textId="77777777" w:rsidR="002B3ED5" w:rsidRPr="00BC764F" w:rsidRDefault="002B3ED5" w:rsidP="002B3ED5">
            <w:pPr>
              <w:rPr>
                <w:b/>
              </w:rPr>
            </w:pPr>
            <w:r w:rsidRPr="00BC764F">
              <w:rPr>
                <w:b/>
              </w:rPr>
              <w:t>New Project Applicants Notified of Acceptance/Rejection from Project Ranking</w:t>
            </w:r>
          </w:p>
          <w:p w14:paraId="7700A268" w14:textId="58AFB5A4" w:rsidR="002B3ED5" w:rsidRPr="00A97C5B" w:rsidRDefault="002B3ED5" w:rsidP="002B3ED5">
            <w:pPr>
              <w:rPr>
                <w:b/>
              </w:rPr>
            </w:pPr>
          </w:p>
        </w:tc>
      </w:tr>
      <w:tr w:rsidR="002B3ED5" w14:paraId="56C0BF93" w14:textId="77777777" w:rsidTr="00BE67EF">
        <w:trPr>
          <w:trHeight w:val="1173"/>
        </w:trPr>
        <w:tc>
          <w:tcPr>
            <w:tcW w:w="2065" w:type="dxa"/>
          </w:tcPr>
          <w:p w14:paraId="074AEBFA" w14:textId="77777777" w:rsidR="002B3ED5" w:rsidRDefault="002B3ED5" w:rsidP="002B3ED5">
            <w:pPr>
              <w:rPr>
                <w:b/>
              </w:rPr>
            </w:pPr>
          </w:p>
          <w:p w14:paraId="1A7FD53F" w14:textId="447D9ABB" w:rsidR="002B3ED5" w:rsidRDefault="002B539D" w:rsidP="002B3ED5">
            <w:r>
              <w:rPr>
                <w:b/>
              </w:rPr>
              <w:t>October 29, 2021</w:t>
            </w:r>
          </w:p>
        </w:tc>
        <w:tc>
          <w:tcPr>
            <w:tcW w:w="8123" w:type="dxa"/>
          </w:tcPr>
          <w:p w14:paraId="02BE4C7D" w14:textId="77777777" w:rsidR="002B3ED5" w:rsidRDefault="002B3ED5" w:rsidP="002B3ED5">
            <w:pPr>
              <w:pStyle w:val="ListParagraph"/>
              <w:ind w:left="365"/>
              <w:rPr>
                <w:b/>
              </w:rPr>
            </w:pPr>
          </w:p>
          <w:p w14:paraId="409617D3" w14:textId="77777777" w:rsidR="002B3ED5" w:rsidRPr="00BC764F" w:rsidRDefault="002B3ED5" w:rsidP="002B3ED5">
            <w:pPr>
              <w:rPr>
                <w:b/>
              </w:rPr>
            </w:pPr>
            <w:r w:rsidRPr="00BC764F">
              <w:rPr>
                <w:b/>
              </w:rPr>
              <w:t>Draft CoC Application Sent to CoC for Input and Review</w:t>
            </w:r>
          </w:p>
          <w:p w14:paraId="3524904E" w14:textId="77777777" w:rsidR="002B3ED5" w:rsidRDefault="002B3ED5" w:rsidP="002B3ED5">
            <w:pPr>
              <w:pStyle w:val="ListParagraph"/>
              <w:ind w:left="365"/>
              <w:rPr>
                <w:b/>
              </w:rPr>
            </w:pPr>
          </w:p>
        </w:tc>
      </w:tr>
      <w:tr w:rsidR="002B3ED5" w14:paraId="71408CC0" w14:textId="77777777" w:rsidTr="00D201B9">
        <w:trPr>
          <w:trHeight w:val="498"/>
        </w:trPr>
        <w:tc>
          <w:tcPr>
            <w:tcW w:w="2065" w:type="dxa"/>
            <w:vAlign w:val="center"/>
          </w:tcPr>
          <w:p w14:paraId="5873ACC5" w14:textId="35B0FBB8" w:rsidR="002B3ED5" w:rsidRPr="00044690" w:rsidRDefault="002B539D" w:rsidP="002B3ED5">
            <w:pPr>
              <w:rPr>
                <w:b/>
              </w:rPr>
            </w:pPr>
            <w:r>
              <w:rPr>
                <w:b/>
              </w:rPr>
              <w:t>November 9, 2021</w:t>
            </w:r>
          </w:p>
        </w:tc>
        <w:tc>
          <w:tcPr>
            <w:tcW w:w="8123" w:type="dxa"/>
            <w:vAlign w:val="center"/>
          </w:tcPr>
          <w:p w14:paraId="23892CC0" w14:textId="18EB6600" w:rsidR="002B3ED5" w:rsidRPr="00D75F29" w:rsidRDefault="002B3ED5" w:rsidP="002B3ED5">
            <w:pPr>
              <w:rPr>
                <w:b/>
              </w:rPr>
            </w:pPr>
            <w:r>
              <w:rPr>
                <w:b/>
              </w:rPr>
              <w:br/>
              <w:t>Resource Allocation Committee Meeting – Review and Approve Final NOFO Submission</w:t>
            </w:r>
          </w:p>
          <w:p w14:paraId="68B7E106" w14:textId="3853FC11" w:rsidR="002B3ED5" w:rsidRDefault="002B3ED5" w:rsidP="002B3ED5">
            <w:pPr>
              <w:rPr>
                <w:b/>
              </w:rPr>
            </w:pPr>
          </w:p>
        </w:tc>
      </w:tr>
      <w:tr w:rsidR="002B3ED5" w14:paraId="482EA53E" w14:textId="77777777" w:rsidTr="00D201B9">
        <w:trPr>
          <w:trHeight w:val="498"/>
        </w:trPr>
        <w:tc>
          <w:tcPr>
            <w:tcW w:w="2065" w:type="dxa"/>
            <w:vAlign w:val="center"/>
          </w:tcPr>
          <w:p w14:paraId="45B46161" w14:textId="59B7BCE0" w:rsidR="002B3ED5" w:rsidRPr="00044690" w:rsidRDefault="002B539D" w:rsidP="002B3ED5">
            <w:pPr>
              <w:rPr>
                <w:b/>
              </w:rPr>
            </w:pPr>
            <w:r>
              <w:rPr>
                <w:b/>
              </w:rPr>
              <w:t>November  10, 2021</w:t>
            </w:r>
          </w:p>
        </w:tc>
        <w:tc>
          <w:tcPr>
            <w:tcW w:w="8123" w:type="dxa"/>
            <w:vAlign w:val="center"/>
          </w:tcPr>
          <w:p w14:paraId="34089451" w14:textId="2E0C7F31" w:rsidR="002B3ED5" w:rsidRPr="0036031D" w:rsidRDefault="002B3ED5" w:rsidP="002B3ED5">
            <w:pPr>
              <w:rPr>
                <w:b/>
              </w:rPr>
            </w:pPr>
            <w:r>
              <w:rPr>
                <w:b/>
              </w:rPr>
              <w:t xml:space="preserve">Public Posting of Final </w:t>
            </w:r>
            <w:r w:rsidRPr="00257ECD">
              <w:rPr>
                <w:b/>
              </w:rPr>
              <w:t xml:space="preserve">Consolidated CoC Application </w:t>
            </w:r>
          </w:p>
        </w:tc>
      </w:tr>
      <w:tr w:rsidR="002B3ED5" w14:paraId="7C0539B6" w14:textId="77777777" w:rsidTr="00D201B9">
        <w:trPr>
          <w:trHeight w:val="615"/>
        </w:trPr>
        <w:tc>
          <w:tcPr>
            <w:tcW w:w="2065" w:type="dxa"/>
            <w:vAlign w:val="center"/>
          </w:tcPr>
          <w:p w14:paraId="26755982" w14:textId="5D833E6A" w:rsidR="002B3ED5" w:rsidRPr="00044690" w:rsidRDefault="002B539D" w:rsidP="002B3ED5">
            <w:pPr>
              <w:rPr>
                <w:b/>
              </w:rPr>
            </w:pPr>
            <w:r>
              <w:rPr>
                <w:b/>
              </w:rPr>
              <w:t>November 15, 2021</w:t>
            </w:r>
          </w:p>
        </w:tc>
        <w:tc>
          <w:tcPr>
            <w:tcW w:w="8123" w:type="dxa"/>
            <w:vAlign w:val="center"/>
          </w:tcPr>
          <w:p w14:paraId="7EF79B14" w14:textId="39717B73" w:rsidR="002B3ED5" w:rsidRPr="00257ECD" w:rsidRDefault="002B3ED5" w:rsidP="002B3ED5">
            <w:pPr>
              <w:rPr>
                <w:b/>
              </w:rPr>
            </w:pPr>
            <w:r>
              <w:rPr>
                <w:b/>
              </w:rPr>
              <w:t>Final Consolidated CoC Application Submitted to HUD</w:t>
            </w:r>
          </w:p>
        </w:tc>
      </w:tr>
    </w:tbl>
    <w:p w14:paraId="33D433DD" w14:textId="77777777" w:rsidR="00BE67EF" w:rsidRDefault="00BE67EF" w:rsidP="00386091">
      <w:pPr>
        <w:spacing w:after="0" w:line="240" w:lineRule="auto"/>
        <w:rPr>
          <w:i/>
        </w:rPr>
      </w:pPr>
    </w:p>
    <w:p w14:paraId="0C07E4FB" w14:textId="77777777" w:rsidR="009C66F5" w:rsidRDefault="009C66F5">
      <w:pPr>
        <w:rPr>
          <w:i/>
        </w:rPr>
      </w:pPr>
      <w:r>
        <w:rPr>
          <w:i/>
        </w:rPr>
        <w:br w:type="page"/>
      </w:r>
    </w:p>
    <w:p w14:paraId="544E188C" w14:textId="6D2A54E6" w:rsidR="00047825" w:rsidRDefault="00047825" w:rsidP="00386091">
      <w:pPr>
        <w:spacing w:after="0" w:line="240" w:lineRule="auto"/>
        <w:rPr>
          <w:i/>
        </w:rPr>
      </w:pPr>
      <w:r w:rsidRPr="00047825">
        <w:rPr>
          <w:b/>
          <w:noProof/>
          <w:color w:val="CF7347"/>
          <w:sz w:val="28"/>
        </w:rPr>
        <w:lastRenderedPageBreak/>
        <mc:AlternateContent>
          <mc:Choice Requires="wps">
            <w:drawing>
              <wp:anchor distT="0" distB="0" distL="114300" distR="114300" simplePos="0" relativeHeight="251662336" behindDoc="0" locked="0" layoutInCell="1" allowOverlap="1" wp14:anchorId="405BEF11" wp14:editId="2C698CDA">
                <wp:simplePos x="0" y="0"/>
                <wp:positionH relativeFrom="column">
                  <wp:posOffset>-228600</wp:posOffset>
                </wp:positionH>
                <wp:positionV relativeFrom="paragraph">
                  <wp:posOffset>144145</wp:posOffset>
                </wp:positionV>
                <wp:extent cx="682942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7F8A2F9E" w14:textId="54C8D9BE" w:rsidR="00B052A1" w:rsidRPr="00047825" w:rsidRDefault="00B052A1" w:rsidP="00047825">
                            <w:pPr>
                              <w:jc w:val="center"/>
                              <w:rPr>
                                <w:b/>
                                <w:color w:val="FFFFFF" w:themeColor="background1"/>
                                <w:sz w:val="32"/>
                              </w:rPr>
                            </w:pPr>
                            <w:r>
                              <w:rPr>
                                <w:b/>
                                <w:color w:val="FFFFFF" w:themeColor="background1"/>
                                <w:sz w:val="32"/>
                              </w:rPr>
                              <w:t>FY2021 AVAILABLE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BEF11" id="_x0000_s1028" type="#_x0000_t202" style="position:absolute;margin-left:-18pt;margin-top:11.35pt;width:53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" fillcolor="#cf7347" stroked="f">
                <v:textbox>
                  <w:txbxContent>
                    <w:p w14:paraId="7F8A2F9E" w14:textId="54C8D9BE" w:rsidR="00B052A1" w:rsidRPr="00047825" w:rsidRDefault="00B052A1" w:rsidP="00047825">
                      <w:pPr>
                        <w:jc w:val="center"/>
                        <w:rPr>
                          <w:b/>
                          <w:color w:val="FFFFFF" w:themeColor="background1"/>
                          <w:sz w:val="32"/>
                        </w:rPr>
                      </w:pPr>
                      <w:r>
                        <w:rPr>
                          <w:b/>
                          <w:color w:val="FFFFFF" w:themeColor="background1"/>
                          <w:sz w:val="32"/>
                        </w:rPr>
                        <w:t>FY2021 AVAILABLE FUNDING</w:t>
                      </w:r>
                    </w:p>
                  </w:txbxContent>
                </v:textbox>
              </v:shape>
            </w:pict>
          </mc:Fallback>
        </mc:AlternateContent>
      </w:r>
    </w:p>
    <w:p w14:paraId="53109431" w14:textId="77777777" w:rsidR="00047825" w:rsidRDefault="00047825" w:rsidP="00386091">
      <w:pPr>
        <w:spacing w:after="0" w:line="240" w:lineRule="auto"/>
        <w:rPr>
          <w:i/>
        </w:rPr>
      </w:pPr>
    </w:p>
    <w:p w14:paraId="3E11F3C4" w14:textId="66F23B2C" w:rsidR="00047825" w:rsidRDefault="00047825" w:rsidP="00386091">
      <w:pPr>
        <w:spacing w:after="0" w:line="240" w:lineRule="auto"/>
        <w:rPr>
          <w:i/>
        </w:rPr>
      </w:pPr>
    </w:p>
    <w:p w14:paraId="23B61202" w14:textId="77777777" w:rsidR="00842D38" w:rsidRPr="00AF7D57" w:rsidRDefault="00842D38" w:rsidP="00386091">
      <w:pPr>
        <w:spacing w:after="0" w:line="240" w:lineRule="auto"/>
        <w:rPr>
          <w:i/>
        </w:rPr>
      </w:pPr>
    </w:p>
    <w:tbl>
      <w:tblPr>
        <w:tblStyle w:val="TableGrid"/>
        <w:tblW w:w="0" w:type="auto"/>
        <w:tblInd w:w="-5" w:type="dxa"/>
        <w:tblLook w:val="04A0" w:firstRow="1" w:lastRow="0" w:firstColumn="1" w:lastColumn="0" w:noHBand="0" w:noVBand="1"/>
      </w:tblPr>
      <w:tblGrid>
        <w:gridCol w:w="1440"/>
        <w:gridCol w:w="3802"/>
        <w:gridCol w:w="4771"/>
      </w:tblGrid>
      <w:tr w:rsidR="003F7FDA" w14:paraId="447E0B59" w14:textId="77777777" w:rsidTr="00C24BEB">
        <w:trPr>
          <w:trHeight w:val="377"/>
        </w:trPr>
        <w:tc>
          <w:tcPr>
            <w:tcW w:w="10013" w:type="dxa"/>
            <w:gridSpan w:val="3"/>
            <w:shd w:val="clear" w:color="auto" w:fill="97C1A6"/>
            <w:vAlign w:val="center"/>
          </w:tcPr>
          <w:p w14:paraId="1ADDA7E0" w14:textId="53C4BE9F" w:rsidR="003F7FDA" w:rsidRPr="00760B0A" w:rsidRDefault="004F3BDA" w:rsidP="00421EFF">
            <w:pPr>
              <w:jc w:val="center"/>
              <w:rPr>
                <w:b/>
                <w:sz w:val="24"/>
              </w:rPr>
            </w:pPr>
            <w:bookmarkStart w:id="2" w:name="funding"/>
            <w:bookmarkEnd w:id="2"/>
            <w:r>
              <w:rPr>
                <w:b/>
                <w:color w:val="FFFFFF" w:themeColor="background1"/>
                <w:sz w:val="24"/>
              </w:rPr>
              <w:t>FY2021</w:t>
            </w:r>
            <w:r w:rsidR="003F7FDA" w:rsidRPr="00760B0A">
              <w:rPr>
                <w:b/>
                <w:color w:val="FFFFFF" w:themeColor="background1"/>
                <w:sz w:val="24"/>
              </w:rPr>
              <w:t xml:space="preserve"> CoC </w:t>
            </w:r>
            <w:r w:rsidR="00FC345C">
              <w:rPr>
                <w:b/>
                <w:color w:val="FFFFFF" w:themeColor="background1"/>
                <w:sz w:val="24"/>
              </w:rPr>
              <w:t>NOFO</w:t>
            </w:r>
            <w:r w:rsidR="003F7FDA" w:rsidRPr="00760B0A">
              <w:rPr>
                <w:b/>
                <w:color w:val="FFFFFF" w:themeColor="background1"/>
                <w:sz w:val="24"/>
              </w:rPr>
              <w:t xml:space="preserve"> Available</w:t>
            </w:r>
            <w:r w:rsidR="00733CAA">
              <w:rPr>
                <w:b/>
                <w:color w:val="FFFFFF" w:themeColor="background1"/>
                <w:sz w:val="24"/>
              </w:rPr>
              <w:t xml:space="preserve"> Funding</w:t>
            </w:r>
            <w:r w:rsidR="00DF3293">
              <w:rPr>
                <w:b/>
                <w:color w:val="FFFFFF" w:themeColor="background1"/>
                <w:sz w:val="24"/>
              </w:rPr>
              <w:t xml:space="preserve"> </w:t>
            </w:r>
          </w:p>
        </w:tc>
      </w:tr>
      <w:tr w:rsidR="003F7FDA" w14:paraId="0F7A9619" w14:textId="77777777" w:rsidTr="00C24BEB">
        <w:tc>
          <w:tcPr>
            <w:tcW w:w="1440" w:type="dxa"/>
            <w:shd w:val="clear" w:color="auto" w:fill="D9D9D9" w:themeFill="background1" w:themeFillShade="D9"/>
          </w:tcPr>
          <w:p w14:paraId="32864068" w14:textId="77777777" w:rsidR="003F7FDA" w:rsidRDefault="003F7FDA" w:rsidP="00386091">
            <w:pPr>
              <w:rPr>
                <w:b/>
              </w:rPr>
            </w:pPr>
            <w:r>
              <w:rPr>
                <w:b/>
              </w:rPr>
              <w:t>Amount</w:t>
            </w:r>
          </w:p>
        </w:tc>
        <w:tc>
          <w:tcPr>
            <w:tcW w:w="3802" w:type="dxa"/>
            <w:shd w:val="clear" w:color="auto" w:fill="D9D9D9" w:themeFill="background1" w:themeFillShade="D9"/>
          </w:tcPr>
          <w:p w14:paraId="63619EE9" w14:textId="77777777" w:rsidR="003F7FDA" w:rsidRDefault="00760B0A" w:rsidP="00386091">
            <w:pPr>
              <w:rPr>
                <w:b/>
              </w:rPr>
            </w:pPr>
            <w:r>
              <w:rPr>
                <w:b/>
              </w:rPr>
              <w:t>Type</w:t>
            </w:r>
          </w:p>
        </w:tc>
        <w:tc>
          <w:tcPr>
            <w:tcW w:w="4771" w:type="dxa"/>
            <w:shd w:val="clear" w:color="auto" w:fill="D9D9D9" w:themeFill="background1" w:themeFillShade="D9"/>
          </w:tcPr>
          <w:p w14:paraId="331A3546" w14:textId="77777777" w:rsidR="003F7FDA" w:rsidRDefault="003F7FDA" w:rsidP="00386091">
            <w:pPr>
              <w:rPr>
                <w:b/>
              </w:rPr>
            </w:pPr>
            <w:r>
              <w:rPr>
                <w:b/>
              </w:rPr>
              <w:t>Description</w:t>
            </w:r>
          </w:p>
        </w:tc>
      </w:tr>
      <w:tr w:rsidR="003F7FDA" w14:paraId="7995FC67" w14:textId="77777777" w:rsidTr="00C24BEB">
        <w:trPr>
          <w:trHeight w:val="602"/>
        </w:trPr>
        <w:tc>
          <w:tcPr>
            <w:tcW w:w="1440" w:type="dxa"/>
            <w:vAlign w:val="center"/>
          </w:tcPr>
          <w:p w14:paraId="6CDD047C" w14:textId="522901A2" w:rsidR="003F7FDA" w:rsidRPr="00421EFF" w:rsidRDefault="00E45B52" w:rsidP="00E45B52">
            <w:pPr>
              <w:rPr>
                <w:rFonts w:cstheme="minorHAnsi"/>
              </w:rPr>
            </w:pPr>
            <w:r w:rsidRPr="00421EFF">
              <w:rPr>
                <w:rFonts w:cstheme="minorHAnsi"/>
              </w:rPr>
              <w:t>$</w:t>
            </w:r>
            <w:r w:rsidR="00FC345C" w:rsidRPr="007055CE">
              <w:rPr>
                <w:rFonts w:cstheme="minorHAnsi"/>
              </w:rPr>
              <w:t>24,131,740</w:t>
            </w:r>
          </w:p>
        </w:tc>
        <w:tc>
          <w:tcPr>
            <w:tcW w:w="3802" w:type="dxa"/>
            <w:vAlign w:val="center"/>
          </w:tcPr>
          <w:p w14:paraId="76020D38" w14:textId="56DD0B31" w:rsidR="003F7FDA" w:rsidRPr="00760B0A" w:rsidRDefault="003F7FDA" w:rsidP="009A0B5B">
            <w:r w:rsidRPr="00760B0A">
              <w:t xml:space="preserve">The Annual Renewal </w:t>
            </w:r>
            <w:r w:rsidR="009A0B5B">
              <w:t xml:space="preserve">Demand </w:t>
            </w:r>
            <w:r w:rsidRPr="00760B0A">
              <w:t>(ARD) for Baltimore City</w:t>
            </w:r>
          </w:p>
        </w:tc>
        <w:tc>
          <w:tcPr>
            <w:tcW w:w="4771" w:type="dxa"/>
            <w:vAlign w:val="center"/>
          </w:tcPr>
          <w:p w14:paraId="47C20711" w14:textId="213A5D46" w:rsidR="003F7FDA" w:rsidRPr="00760B0A" w:rsidRDefault="003F7FDA" w:rsidP="00D81BDE">
            <w:r w:rsidRPr="00760B0A">
              <w:t xml:space="preserve">This is the base amount that </w:t>
            </w:r>
            <w:r w:rsidR="009A0B5B">
              <w:t>CoC</w:t>
            </w:r>
            <w:r w:rsidRPr="00760B0A">
              <w:t xml:space="preserve"> is eligible to apply for</w:t>
            </w:r>
            <w:r w:rsidR="00421EFF">
              <w:t xml:space="preserve"> and includes the Youth Homelessness Demonstration Program funds. </w:t>
            </w:r>
          </w:p>
        </w:tc>
      </w:tr>
      <w:tr w:rsidR="003F7FDA" w14:paraId="064362D6" w14:textId="77777777" w:rsidTr="00C24BEB">
        <w:trPr>
          <w:trHeight w:val="602"/>
        </w:trPr>
        <w:tc>
          <w:tcPr>
            <w:tcW w:w="1440" w:type="dxa"/>
            <w:vAlign w:val="center"/>
          </w:tcPr>
          <w:p w14:paraId="67CA4AB0" w14:textId="2DDBEA3A" w:rsidR="003F7FDA" w:rsidRPr="00421EFF" w:rsidRDefault="003F7FDA" w:rsidP="00760B0A">
            <w:pPr>
              <w:rPr>
                <w:rFonts w:cstheme="minorHAnsi"/>
              </w:rPr>
            </w:pPr>
          </w:p>
          <w:p w14:paraId="0A00E479" w14:textId="74DF88AC" w:rsidR="0054368A" w:rsidRPr="00421EFF" w:rsidRDefault="0054368A" w:rsidP="00E45B52">
            <w:pPr>
              <w:rPr>
                <w:rFonts w:cstheme="minorHAnsi"/>
              </w:rPr>
            </w:pPr>
            <w:r w:rsidRPr="00421EFF">
              <w:rPr>
                <w:rFonts w:cstheme="minorHAnsi"/>
              </w:rPr>
              <w:t>$</w:t>
            </w:r>
            <w:r w:rsidR="00FC345C" w:rsidRPr="007055CE">
              <w:rPr>
                <w:rFonts w:cstheme="minorHAnsi"/>
              </w:rPr>
              <w:t>1,206,587</w:t>
            </w:r>
          </w:p>
        </w:tc>
        <w:tc>
          <w:tcPr>
            <w:tcW w:w="3802" w:type="dxa"/>
            <w:vAlign w:val="center"/>
          </w:tcPr>
          <w:p w14:paraId="5F499C8B" w14:textId="6ACA5582" w:rsidR="003F7FDA" w:rsidRPr="00760B0A" w:rsidRDefault="00BE67EF" w:rsidP="007303E4">
            <w:r>
              <w:t xml:space="preserve">Regular </w:t>
            </w:r>
            <w:r w:rsidR="003F7FDA" w:rsidRPr="00760B0A">
              <w:t>Bonus Project Funding Available</w:t>
            </w:r>
            <w:r w:rsidR="009A0B5B">
              <w:t xml:space="preserve"> </w:t>
            </w:r>
          </w:p>
        </w:tc>
        <w:tc>
          <w:tcPr>
            <w:tcW w:w="4771" w:type="dxa"/>
            <w:vAlign w:val="center"/>
          </w:tcPr>
          <w:p w14:paraId="26076F3E" w14:textId="47453C9E" w:rsidR="003F7FDA" w:rsidRPr="00760B0A" w:rsidRDefault="003F7FDA" w:rsidP="00BE67EF">
            <w:r w:rsidRPr="00760B0A">
              <w:t xml:space="preserve">This is the maximum amount </w:t>
            </w:r>
            <w:r w:rsidR="00B75FEE">
              <w:t>bonus</w:t>
            </w:r>
            <w:r w:rsidRPr="00760B0A">
              <w:t xml:space="preserve"> funding </w:t>
            </w:r>
            <w:r w:rsidR="009A0B5B">
              <w:t>CoC</w:t>
            </w:r>
            <w:r w:rsidRPr="00760B0A">
              <w:t xml:space="preserve"> is eligible to apply for</w:t>
            </w:r>
            <w:r w:rsidR="002B539D">
              <w:t xml:space="preserve"> (does not include any reallocation)</w:t>
            </w:r>
          </w:p>
        </w:tc>
      </w:tr>
      <w:tr w:rsidR="009C66F5" w14:paraId="1794DA85" w14:textId="77777777" w:rsidTr="00C24BEB">
        <w:trPr>
          <w:trHeight w:val="602"/>
        </w:trPr>
        <w:tc>
          <w:tcPr>
            <w:tcW w:w="1440" w:type="dxa"/>
            <w:vAlign w:val="center"/>
          </w:tcPr>
          <w:p w14:paraId="13D24CA6" w14:textId="4E603634" w:rsidR="00FC345C" w:rsidRPr="00421EFF" w:rsidRDefault="009C66F5" w:rsidP="00FC345C">
            <w:pPr>
              <w:rPr>
                <w:rFonts w:cstheme="minorHAnsi"/>
                <w:color w:val="000000"/>
              </w:rPr>
            </w:pPr>
            <w:r w:rsidRPr="00421EFF">
              <w:rPr>
                <w:rFonts w:cstheme="minorHAnsi"/>
              </w:rPr>
              <w:t>$</w:t>
            </w:r>
            <w:r w:rsidR="00FC345C" w:rsidRPr="007055CE">
              <w:rPr>
                <w:rFonts w:cstheme="minorHAnsi"/>
                <w:color w:val="000000"/>
              </w:rPr>
              <w:t xml:space="preserve">2,879,723 </w:t>
            </w:r>
          </w:p>
          <w:p w14:paraId="60C96F8E" w14:textId="3892A369" w:rsidR="009C66F5" w:rsidRPr="002314F1" w:rsidRDefault="009C66F5" w:rsidP="00E45B52">
            <w:pPr>
              <w:rPr>
                <w:rFonts w:cstheme="minorHAnsi"/>
              </w:rPr>
            </w:pPr>
          </w:p>
        </w:tc>
        <w:tc>
          <w:tcPr>
            <w:tcW w:w="3802" w:type="dxa"/>
            <w:vAlign w:val="center"/>
          </w:tcPr>
          <w:p w14:paraId="2AC97254" w14:textId="1AF4ECCE" w:rsidR="009C66F5" w:rsidRDefault="009C66F5" w:rsidP="007303E4">
            <w:r>
              <w:t>Domestic Violence Bonus Project Funding Available</w:t>
            </w:r>
          </w:p>
        </w:tc>
        <w:tc>
          <w:tcPr>
            <w:tcW w:w="4771" w:type="dxa"/>
            <w:vAlign w:val="center"/>
          </w:tcPr>
          <w:p w14:paraId="0D33CEE5" w14:textId="33367BD5" w:rsidR="009C66F5" w:rsidRPr="00760B0A" w:rsidRDefault="009C66F5" w:rsidP="00BE67EF">
            <w:r>
              <w:t>This is the maximum amount of domestic violence project bonus funding CoC is eligible to apply for</w:t>
            </w:r>
          </w:p>
        </w:tc>
      </w:tr>
      <w:tr w:rsidR="00842D38" w14:paraId="1C68A985" w14:textId="77777777" w:rsidTr="00DF3293">
        <w:trPr>
          <w:trHeight w:val="948"/>
        </w:trPr>
        <w:tc>
          <w:tcPr>
            <w:tcW w:w="1440" w:type="dxa"/>
            <w:vAlign w:val="center"/>
          </w:tcPr>
          <w:p w14:paraId="62335FE4" w14:textId="74576C3A" w:rsidR="00842D38" w:rsidRPr="007055CE" w:rsidRDefault="00BE67EF" w:rsidP="00E45B52">
            <w:pPr>
              <w:rPr>
                <w:rFonts w:cstheme="minorHAnsi"/>
                <w:color w:val="000000"/>
              </w:rPr>
            </w:pPr>
            <w:r w:rsidRPr="00421EFF">
              <w:rPr>
                <w:rFonts w:cstheme="minorHAnsi"/>
              </w:rPr>
              <w:t>$</w:t>
            </w:r>
            <w:r w:rsidR="00FC345C" w:rsidRPr="007055CE">
              <w:rPr>
                <w:rFonts w:cstheme="minorHAnsi"/>
                <w:color w:val="000000"/>
              </w:rPr>
              <w:t xml:space="preserve">723,952 </w:t>
            </w:r>
          </w:p>
        </w:tc>
        <w:tc>
          <w:tcPr>
            <w:tcW w:w="3802" w:type="dxa"/>
            <w:vAlign w:val="center"/>
          </w:tcPr>
          <w:p w14:paraId="67F297D9" w14:textId="77777777" w:rsidR="00842D38" w:rsidRPr="00760B0A" w:rsidRDefault="00842D38" w:rsidP="00760B0A">
            <w:r w:rsidRPr="00760B0A">
              <w:t>CoC Planning Grant Funds</w:t>
            </w:r>
          </w:p>
        </w:tc>
        <w:tc>
          <w:tcPr>
            <w:tcW w:w="4771" w:type="dxa"/>
            <w:vAlign w:val="center"/>
          </w:tcPr>
          <w:p w14:paraId="60B860DB" w14:textId="191B48F5" w:rsidR="00842D38" w:rsidRPr="00760B0A" w:rsidRDefault="00842D38" w:rsidP="00A97C5B">
            <w:r w:rsidRPr="00760B0A">
              <w:t xml:space="preserve">This provides staffing support and funding for </w:t>
            </w:r>
            <w:r w:rsidR="00A97C5B">
              <w:t>the Collaborative Applicant</w:t>
            </w:r>
            <w:r w:rsidR="00BE67EF">
              <w:t xml:space="preserve"> in addition to operations costs for HUD-required CoC activities.</w:t>
            </w:r>
          </w:p>
        </w:tc>
      </w:tr>
      <w:tr w:rsidR="00842D38" w14:paraId="6C07962D" w14:textId="77777777" w:rsidTr="00C24BEB">
        <w:trPr>
          <w:trHeight w:val="413"/>
        </w:trPr>
        <w:tc>
          <w:tcPr>
            <w:tcW w:w="1440" w:type="dxa"/>
            <w:shd w:val="clear" w:color="auto" w:fill="D9D9D9" w:themeFill="background1" w:themeFillShade="D9"/>
            <w:vAlign w:val="center"/>
          </w:tcPr>
          <w:p w14:paraId="644D11BA" w14:textId="2DE0B0CF" w:rsidR="00827661" w:rsidRPr="007055CE" w:rsidRDefault="009C66F5" w:rsidP="00827661">
            <w:pPr>
              <w:rPr>
                <w:rFonts w:cstheme="minorHAnsi"/>
                <w:b/>
              </w:rPr>
            </w:pPr>
            <w:r w:rsidRPr="00421EFF">
              <w:rPr>
                <w:rFonts w:cstheme="minorHAnsi"/>
                <w:b/>
              </w:rPr>
              <w:t>$</w:t>
            </w:r>
            <w:r w:rsidR="00827661" w:rsidRPr="007055CE">
              <w:rPr>
                <w:rFonts w:cstheme="minorHAnsi"/>
                <w:color w:val="000000"/>
              </w:rPr>
              <w:t xml:space="preserve">28,942,002 </w:t>
            </w:r>
          </w:p>
          <w:p w14:paraId="763C25BC" w14:textId="159F34C2" w:rsidR="0054368A" w:rsidRPr="00421EFF" w:rsidRDefault="0054368A" w:rsidP="00E45B52">
            <w:pPr>
              <w:rPr>
                <w:rFonts w:cstheme="minorHAnsi"/>
                <w:b/>
              </w:rPr>
            </w:pPr>
          </w:p>
        </w:tc>
        <w:tc>
          <w:tcPr>
            <w:tcW w:w="8573" w:type="dxa"/>
            <w:gridSpan w:val="2"/>
            <w:shd w:val="clear" w:color="auto" w:fill="D9D9D9" w:themeFill="background1" w:themeFillShade="D9"/>
            <w:vAlign w:val="center"/>
          </w:tcPr>
          <w:p w14:paraId="7C809601" w14:textId="2F59BC87" w:rsidR="00842D38" w:rsidRDefault="00842D38" w:rsidP="00C061F4">
            <w:pPr>
              <w:rPr>
                <w:b/>
              </w:rPr>
            </w:pPr>
            <w:r>
              <w:rPr>
                <w:b/>
              </w:rPr>
              <w:t>Total Amount of Funding Available</w:t>
            </w:r>
          </w:p>
        </w:tc>
      </w:tr>
    </w:tbl>
    <w:p w14:paraId="60E520B3" w14:textId="77777777" w:rsidR="00DF3293" w:rsidRDefault="00DF3293" w:rsidP="00733CAA">
      <w:pPr>
        <w:spacing w:line="240" w:lineRule="auto"/>
      </w:pPr>
    </w:p>
    <w:p w14:paraId="334E221A" w14:textId="07B25EA2" w:rsidR="00733CAA" w:rsidRPr="00D61950" w:rsidRDefault="00733CAA" w:rsidP="00733CAA">
      <w:pPr>
        <w:spacing w:line="240" w:lineRule="auto"/>
      </w:pPr>
      <w:r w:rsidRPr="00D61950">
        <w:t xml:space="preserve">HUD allows local communities to create new projects through two methods: </w:t>
      </w:r>
      <w:r>
        <w:t xml:space="preserve"> </w:t>
      </w:r>
      <w:r w:rsidRPr="00D61950">
        <w:t xml:space="preserve">bonus projects and reallocation.  Bonus projects are typically awarded competitively at the national level but are also required to be ranked with </w:t>
      </w:r>
      <w:r>
        <w:t xml:space="preserve">the CoC’s </w:t>
      </w:r>
      <w:r w:rsidRPr="00D61950">
        <w:t>other renewal and new projects.</w:t>
      </w:r>
    </w:p>
    <w:p w14:paraId="30D9B681" w14:textId="77777777" w:rsidR="00C061F4" w:rsidRDefault="00C061F4" w:rsidP="006E4536">
      <w:pPr>
        <w:spacing w:after="0" w:line="240" w:lineRule="auto"/>
        <w:rPr>
          <w:b/>
        </w:rPr>
      </w:pPr>
    </w:p>
    <w:p w14:paraId="47691E32" w14:textId="3B739D4D" w:rsidR="00D61950" w:rsidRDefault="00797189" w:rsidP="00D61950">
      <w:pPr>
        <w:rPr>
          <w:b/>
          <w:sz w:val="24"/>
        </w:rPr>
      </w:pPr>
      <w:bookmarkStart w:id="3" w:name="bonus"/>
      <w:bookmarkEnd w:id="3"/>
      <w:r>
        <w:rPr>
          <w:b/>
          <w:sz w:val="24"/>
        </w:rPr>
        <w:t xml:space="preserve">New Projects Created Through Reallocation or CoC </w:t>
      </w:r>
      <w:r w:rsidR="00690A4E">
        <w:rPr>
          <w:b/>
          <w:sz w:val="24"/>
        </w:rPr>
        <w:t xml:space="preserve">Bonus </w:t>
      </w:r>
      <w:r w:rsidR="00D61950">
        <w:rPr>
          <w:b/>
          <w:sz w:val="24"/>
        </w:rPr>
        <w:t>Project Funding</w:t>
      </w:r>
    </w:p>
    <w:p w14:paraId="498C271C" w14:textId="77777777" w:rsidR="00E13C59" w:rsidRDefault="00E13C59" w:rsidP="00E13C59">
      <w:pPr>
        <w:spacing w:after="0" w:line="240" w:lineRule="auto"/>
      </w:pPr>
      <w:r>
        <w:t xml:space="preserve">Reallocation refers to the process by which a CoC shifts funds in whole or in part from existing CoC-funded projects that are eligible for renewal to create one or more new projects. CoCs can pursue reallocations through the annual CoC Program Competition.  </w:t>
      </w:r>
    </w:p>
    <w:p w14:paraId="20C530B8" w14:textId="77777777" w:rsidR="00E13C59" w:rsidRDefault="00E13C59" w:rsidP="00E13C59">
      <w:pPr>
        <w:spacing w:after="0" w:line="240" w:lineRule="auto"/>
      </w:pPr>
    </w:p>
    <w:p w14:paraId="1C78D140" w14:textId="71E43849" w:rsidR="00E13C59" w:rsidRDefault="00E13C59" w:rsidP="00D61950">
      <w:pPr>
        <w:spacing w:after="0" w:line="240" w:lineRule="auto"/>
      </w:pPr>
      <w:r>
        <w:lastRenderedPageBreak/>
        <w:t xml:space="preserve">Reallocating funds is one of the most important tools by which CoCs can make strategic improvements to their homelessness system. Through reallocation, CoCs can create new, evidence-informed projects by eliminating projects that are underperforming or are more appropriately funded from other sources.  Reallocation is particularly important when new resources are scarce. The funding available through reallocation will be shared by the CoC’s Resource Allocation Committee as it reviews all renewal projects using the CoC’s Reallocation Strategy. </w:t>
      </w:r>
      <w:r w:rsidR="009C66F5">
        <w:t>The funding available for</w:t>
      </w:r>
      <w:r w:rsidR="00797189">
        <w:t xml:space="preserve"> new </w:t>
      </w:r>
      <w:r w:rsidR="009C66F5">
        <w:t>project</w:t>
      </w:r>
      <w:r w:rsidR="004F3BDA">
        <w:t xml:space="preserve">s in Baltimore during the FY2021 </w:t>
      </w:r>
      <w:r w:rsidR="009C66F5">
        <w:t xml:space="preserve">competition is </w:t>
      </w:r>
      <w:r w:rsidR="00797189">
        <w:t xml:space="preserve">at least </w:t>
      </w:r>
      <w:r w:rsidR="009C66F5">
        <w:t>$</w:t>
      </w:r>
      <w:r w:rsidR="002B539D" w:rsidRPr="003A580B">
        <w:rPr>
          <w:rFonts w:cstheme="minorHAnsi"/>
        </w:rPr>
        <w:t>1,206,587</w:t>
      </w:r>
      <w:r w:rsidR="009C66F5">
        <w:t>.</w:t>
      </w:r>
    </w:p>
    <w:p w14:paraId="39100D4D" w14:textId="77777777" w:rsidR="00E13C59" w:rsidRDefault="00E13C59" w:rsidP="00D61950">
      <w:pPr>
        <w:spacing w:after="0" w:line="240" w:lineRule="auto"/>
      </w:pPr>
    </w:p>
    <w:p w14:paraId="22AFECC6" w14:textId="069EEA13" w:rsidR="00D61950" w:rsidRDefault="009C66F5" w:rsidP="00D61950">
      <w:pPr>
        <w:spacing w:after="0" w:line="240" w:lineRule="auto"/>
      </w:pPr>
      <w:r>
        <w:t xml:space="preserve"> </w:t>
      </w:r>
      <w:r w:rsidR="00D61950">
        <w:t xml:space="preserve">Eligible </w:t>
      </w:r>
      <w:r w:rsidR="00BE67EF">
        <w:t>activities</w:t>
      </w:r>
      <w:r w:rsidR="00D61950">
        <w:t xml:space="preserve"> </w:t>
      </w:r>
      <w:r w:rsidR="00BE67EF">
        <w:t xml:space="preserve">for </w:t>
      </w:r>
      <w:r w:rsidR="00797189">
        <w:t xml:space="preserve">reallocation or </w:t>
      </w:r>
      <w:r w:rsidR="00BE67EF">
        <w:t xml:space="preserve">bonus projects </w:t>
      </w:r>
      <w:r w:rsidR="00D61950">
        <w:t>include:</w:t>
      </w:r>
    </w:p>
    <w:p w14:paraId="76EE3FD1" w14:textId="1493651F" w:rsidR="00D61950" w:rsidRDefault="00797189" w:rsidP="008A7DCC">
      <w:pPr>
        <w:pStyle w:val="ListParagraph"/>
        <w:numPr>
          <w:ilvl w:val="0"/>
          <w:numId w:val="1"/>
        </w:numPr>
        <w:spacing w:before="240" w:after="0" w:line="240" w:lineRule="auto"/>
      </w:pPr>
      <w:r>
        <w:t>P</w:t>
      </w:r>
      <w:r w:rsidR="00D61950">
        <w:t xml:space="preserve">ermanent </w:t>
      </w:r>
      <w:r>
        <w:t xml:space="preserve">housing – permanent </w:t>
      </w:r>
      <w:r w:rsidR="00D61950">
        <w:t xml:space="preserve">supportive housing </w:t>
      </w:r>
      <w:r>
        <w:t xml:space="preserve">(PSH) </w:t>
      </w:r>
      <w:r w:rsidR="00B052A1">
        <w:t xml:space="preserve">projects </w:t>
      </w:r>
    </w:p>
    <w:p w14:paraId="106BF7B4" w14:textId="6A49087A" w:rsidR="00E62B60" w:rsidRDefault="00797189" w:rsidP="00F87093">
      <w:pPr>
        <w:pStyle w:val="ListParagraph"/>
        <w:numPr>
          <w:ilvl w:val="0"/>
          <w:numId w:val="1"/>
        </w:numPr>
        <w:spacing w:before="240" w:after="0" w:line="240" w:lineRule="auto"/>
      </w:pPr>
      <w:r>
        <w:t xml:space="preserve">Permanent housing - </w:t>
      </w:r>
      <w:r w:rsidR="00D61950">
        <w:t>rapid rehousing</w:t>
      </w:r>
      <w:r>
        <w:t xml:space="preserve"> (RRH)</w:t>
      </w:r>
      <w:r w:rsidR="00D61950">
        <w:t xml:space="preserve"> projects </w:t>
      </w:r>
    </w:p>
    <w:p w14:paraId="2A16D01C" w14:textId="033C9AC8" w:rsidR="00BE67EF" w:rsidRDefault="00E62B60" w:rsidP="00D038E6">
      <w:pPr>
        <w:pStyle w:val="ListParagraph"/>
        <w:numPr>
          <w:ilvl w:val="0"/>
          <w:numId w:val="1"/>
        </w:numPr>
        <w:spacing w:after="0" w:line="240" w:lineRule="auto"/>
      </w:pPr>
      <w:r>
        <w:t xml:space="preserve">New Joint TH-RRH component projects that are a combination of short-term transitional housing with rapid rehousing assistance </w:t>
      </w:r>
    </w:p>
    <w:p w14:paraId="17A8FAFB" w14:textId="0E23879A" w:rsidR="00BE67EF" w:rsidRDefault="00BE67EF" w:rsidP="00A87A42">
      <w:pPr>
        <w:pStyle w:val="ListParagraph"/>
        <w:numPr>
          <w:ilvl w:val="0"/>
          <w:numId w:val="2"/>
        </w:numPr>
        <w:spacing w:after="0" w:line="240" w:lineRule="auto"/>
      </w:pPr>
      <w:r>
        <w:t>New</w:t>
      </w:r>
      <w:r w:rsidR="00044690">
        <w:t xml:space="preserve"> Supportive Services Only -</w:t>
      </w:r>
      <w:r>
        <w:t xml:space="preserve"> Coordinated </w:t>
      </w:r>
      <w:r w:rsidR="00E842A5">
        <w:t>Entry</w:t>
      </w:r>
      <w:r w:rsidR="00797189">
        <w:t xml:space="preserve"> (SSO-CE)</w:t>
      </w:r>
      <w:r w:rsidR="00E842A5">
        <w:t xml:space="preserve"> </w:t>
      </w:r>
      <w:r>
        <w:t xml:space="preserve">projects </w:t>
      </w:r>
      <w:r w:rsidR="00E842A5">
        <w:t>to develop or operate a centralized or coordinated assessment system.</w:t>
      </w:r>
      <w:r w:rsidR="00733CAA">
        <w:br/>
      </w:r>
    </w:p>
    <w:p w14:paraId="4866E010" w14:textId="4B0EEB30" w:rsidR="00A11884" w:rsidRDefault="00A11884" w:rsidP="00A87A42">
      <w:pPr>
        <w:pStyle w:val="ListParagraph"/>
        <w:numPr>
          <w:ilvl w:val="0"/>
          <w:numId w:val="2"/>
        </w:numPr>
        <w:spacing w:after="0" w:line="240" w:lineRule="auto"/>
      </w:pPr>
      <w:r>
        <w:t xml:space="preserve">Expansions of existing CoC-funded permanent supportive housing or rapid re-housing projects to increase the number of persons served, provide additional supportive services, </w:t>
      </w:r>
      <w:r w:rsidR="00BE67EF">
        <w:t xml:space="preserve">or </w:t>
      </w:r>
      <w:r>
        <w:t>replace nonrenewable funding</w:t>
      </w:r>
    </w:p>
    <w:p w14:paraId="7E4B326B" w14:textId="77777777" w:rsidR="00BE67EF" w:rsidRDefault="00BE67EF" w:rsidP="00BE67EF">
      <w:pPr>
        <w:spacing w:after="0" w:line="240" w:lineRule="auto"/>
      </w:pPr>
    </w:p>
    <w:p w14:paraId="1442E22B" w14:textId="1EB87491" w:rsidR="00BE67EF" w:rsidRDefault="00BE67EF" w:rsidP="00BE67EF">
      <w:pPr>
        <w:spacing w:after="0" w:line="240" w:lineRule="auto"/>
      </w:pPr>
      <w:r>
        <w:t>The CoC does not intend to apply for increased HMIS funding.</w:t>
      </w:r>
    </w:p>
    <w:p w14:paraId="1856B75C" w14:textId="4830AC8A" w:rsidR="00733CAA" w:rsidRDefault="00A11884" w:rsidP="00690A4E">
      <w:pPr>
        <w:rPr>
          <w:b/>
          <w:sz w:val="24"/>
        </w:rPr>
      </w:pPr>
      <w:r>
        <w:rPr>
          <w:b/>
          <w:sz w:val="24"/>
        </w:rPr>
        <w:br/>
      </w:r>
      <w:r w:rsidR="00733CAA">
        <w:rPr>
          <w:b/>
          <w:sz w:val="24"/>
        </w:rPr>
        <w:t>Domestic Violence Bonus Project Funding</w:t>
      </w:r>
    </w:p>
    <w:p w14:paraId="4429759F" w14:textId="77777777" w:rsidR="00B052A1" w:rsidRDefault="009C66F5" w:rsidP="00B052A1">
      <w:pPr>
        <w:rPr>
          <w:rFonts w:cstheme="minorHAnsi"/>
          <w:color w:val="000000"/>
        </w:rPr>
      </w:pPr>
      <w:r>
        <w:t>The funding available for domestic violence (DV) bonus project</w:t>
      </w:r>
      <w:r w:rsidR="007978D2">
        <w:t>s in Baltimo</w:t>
      </w:r>
      <w:r w:rsidR="004F3BDA">
        <w:t>re during the FY2021</w:t>
      </w:r>
      <w:r>
        <w:t xml:space="preserve"> competition is</w:t>
      </w:r>
      <w:r w:rsidR="00B052A1">
        <w:t xml:space="preserve"> </w:t>
      </w:r>
      <w:r w:rsidR="00B052A1" w:rsidRPr="00421EFF">
        <w:rPr>
          <w:rFonts w:cstheme="minorHAnsi"/>
        </w:rPr>
        <w:t>$</w:t>
      </w:r>
      <w:r w:rsidR="00B052A1">
        <w:rPr>
          <w:rFonts w:cstheme="minorHAnsi"/>
          <w:color w:val="000000"/>
        </w:rPr>
        <w:t xml:space="preserve">2,879,723. </w:t>
      </w:r>
    </w:p>
    <w:p w14:paraId="424493D4" w14:textId="2C03C074" w:rsidR="00733CAA" w:rsidRPr="00B052A1" w:rsidRDefault="00733CAA" w:rsidP="00B052A1">
      <w:pPr>
        <w:rPr>
          <w:rFonts w:cstheme="minorHAnsi"/>
          <w:color w:val="000000"/>
        </w:rPr>
      </w:pPr>
      <w:r>
        <w:t>Eligible activities for DV bonus projects include:</w:t>
      </w:r>
    </w:p>
    <w:p w14:paraId="34242438" w14:textId="4DA5B85A" w:rsidR="00733CAA" w:rsidRDefault="00797189" w:rsidP="00A87A42">
      <w:pPr>
        <w:pStyle w:val="ListParagraph"/>
        <w:numPr>
          <w:ilvl w:val="0"/>
          <w:numId w:val="13"/>
        </w:numPr>
        <w:spacing w:after="0" w:line="240" w:lineRule="auto"/>
      </w:pPr>
      <w:r>
        <w:t>Permanent Housing -R</w:t>
      </w:r>
      <w:r w:rsidR="00733CAA">
        <w:t xml:space="preserve">apid re-housing </w:t>
      </w:r>
      <w:r>
        <w:t xml:space="preserve">(RRH) </w:t>
      </w:r>
      <w:r w:rsidR="00733CAA">
        <w:t>projects that will serve homeless individuals and families, including youth, fleeing domestic violence situations</w:t>
      </w:r>
      <w:r w:rsidR="00D26E42">
        <w:t xml:space="preserve"> that demonstrate trauma-informed, victim-centered approaches.</w:t>
      </w:r>
    </w:p>
    <w:p w14:paraId="7D0D674C" w14:textId="77777777" w:rsidR="00733CAA" w:rsidRDefault="00733CAA" w:rsidP="00733CAA">
      <w:pPr>
        <w:pStyle w:val="ListParagraph"/>
        <w:spacing w:after="0" w:line="240" w:lineRule="auto"/>
      </w:pPr>
    </w:p>
    <w:p w14:paraId="5E363136" w14:textId="1D30E313" w:rsidR="00733CAA" w:rsidRDefault="00797189" w:rsidP="008A7DCC">
      <w:pPr>
        <w:pStyle w:val="ListParagraph"/>
        <w:numPr>
          <w:ilvl w:val="0"/>
          <w:numId w:val="13"/>
        </w:numPr>
        <w:spacing w:after="0" w:line="240" w:lineRule="auto"/>
      </w:pPr>
      <w:r>
        <w:t xml:space="preserve"> </w:t>
      </w:r>
      <w:r w:rsidR="00733CAA">
        <w:t>Joint TH-RRH component projects that are a combination of short-term transitional housing with rapid re-housing assistance provided to help families transition into permanent housing</w:t>
      </w:r>
      <w:r w:rsidR="00D26E42">
        <w:t xml:space="preserve"> that follow a housing first approach.</w:t>
      </w:r>
    </w:p>
    <w:p w14:paraId="5925FF27" w14:textId="77777777" w:rsidR="00733CAA" w:rsidRDefault="00733CAA" w:rsidP="00733CAA">
      <w:pPr>
        <w:spacing w:after="0" w:line="240" w:lineRule="auto"/>
      </w:pPr>
    </w:p>
    <w:p w14:paraId="7C37B879" w14:textId="7A727A79" w:rsidR="00797189" w:rsidRDefault="00733CAA" w:rsidP="00797189">
      <w:pPr>
        <w:spacing w:after="0" w:line="240" w:lineRule="auto"/>
      </w:pPr>
      <w:r w:rsidRPr="00733CAA">
        <w:t xml:space="preserve">A CoC can only submit one project application for </w:t>
      </w:r>
      <w:r w:rsidR="00D26E42">
        <w:t>SSO Projects for Coordinated Entry</w:t>
      </w:r>
      <w:r w:rsidR="00797189">
        <w:t>, and therefore The CoC does not intend to apply for a new SSO-CE project under DV Bonus.</w:t>
      </w:r>
    </w:p>
    <w:p w14:paraId="320401DA" w14:textId="20070471" w:rsidR="00797189" w:rsidRDefault="00797189" w:rsidP="00733CAA">
      <w:pPr>
        <w:spacing w:after="0" w:line="240" w:lineRule="auto"/>
      </w:pPr>
    </w:p>
    <w:p w14:paraId="6FA198A2" w14:textId="7EE0FA2B" w:rsidR="00D61950" w:rsidRPr="00A53102" w:rsidRDefault="00D26E42" w:rsidP="00A53102">
      <w:pPr>
        <w:spacing w:after="0" w:line="240" w:lineRule="auto"/>
        <w:rPr>
          <w:b/>
          <w:sz w:val="24"/>
        </w:rPr>
      </w:pPr>
      <w:r>
        <w:t>A CoC may apply for any number of PH-RRH and Joint TH and PH-RRH projects provided that each application is for at least $25,000</w:t>
      </w:r>
      <w:r w:rsidR="00A5461A">
        <w:t>. A CoC may also apply to expand an existing renewal project, including one th</w:t>
      </w:r>
      <w:r w:rsidR="009C66F5">
        <w:t>at was previously funded with DV</w:t>
      </w:r>
      <w:r w:rsidR="00A5461A">
        <w:t xml:space="preserve"> Bonus funding. </w:t>
      </w:r>
      <w:r w:rsidR="00044690">
        <w:t>Due to</w:t>
      </w:r>
      <w:r w:rsidR="00733CAA">
        <w:t xml:space="preserve"> the amount of funding availab</w:t>
      </w:r>
      <w:r w:rsidR="0089119A">
        <w:t>le</w:t>
      </w:r>
      <w:r w:rsidR="00733CAA">
        <w:t>, the CoC will only apply for new DV bonus projects rather than expansions of renewal projects.</w:t>
      </w:r>
      <w:r w:rsidR="00733CAA">
        <w:br/>
      </w:r>
    </w:p>
    <w:p w14:paraId="354E0A59" w14:textId="7005B01C" w:rsidR="00243D0B" w:rsidRDefault="00243D0B" w:rsidP="00243D0B">
      <w:pPr>
        <w:rPr>
          <w:b/>
          <w:sz w:val="24"/>
        </w:rPr>
      </w:pPr>
      <w:r>
        <w:rPr>
          <w:b/>
          <w:sz w:val="24"/>
        </w:rPr>
        <w:t>Expansion Project</w:t>
      </w:r>
    </w:p>
    <w:p w14:paraId="264811FA" w14:textId="77777777" w:rsidR="00243D0B" w:rsidRDefault="00243D0B" w:rsidP="00243D0B">
      <w:r>
        <w:lastRenderedPageBreak/>
        <w:t>HUD will allow project applicants to apply for a new expansion project (see Section III.B.2.k of this NOFO) through reallocation, CoC Bonus, and DV Bonus processes to expand existing projects will increase the number of units, persons served, services provided to existing program participants, or to add additional activities to HMIS and SSO-Coordinated Entry projects. YHDP projects cannot use the expansion process.</w:t>
      </w:r>
    </w:p>
    <w:p w14:paraId="1A4516EA" w14:textId="77777777" w:rsidR="00243D0B" w:rsidRDefault="00243D0B" w:rsidP="00243D0B">
      <w:r>
        <w:t xml:space="preserve">Project applicants intending to submit new project applications for the purposes of expanding an eligible renewal in the CoC Program must indicate how the new project application will expand units, beds, services, persons served, or services provided to existing program participants, or in the case of HMIS or SSO-Coordinated Entry projects, how the current activities will be expanded for the CoC's geographic area; and ensure the funding request for the expansion grant is within the funding parameters allowed under reallocation, CoC Bonus, or DV Bonus available amounts. </w:t>
      </w:r>
    </w:p>
    <w:p w14:paraId="7F5C9AF4" w14:textId="77777777" w:rsidR="00243D0B" w:rsidRDefault="00243D0B" w:rsidP="00243D0B">
      <w:r>
        <w:t xml:space="preserve">Project applicants may expand an existing renewal project that is not currently dedicated to serving survivors of domestic violence, dating violence, sexual assault, or stalking that meet the definition of homeless (24 CFR 578.3) to dedicate additional beds, units, persons served, or services provided to existing program participants to this population. </w:t>
      </w:r>
    </w:p>
    <w:p w14:paraId="4869BC95" w14:textId="11F3F33C" w:rsidR="00243D0B" w:rsidRPr="007055CE" w:rsidRDefault="00243D0B" w:rsidP="00733CAA">
      <w:r>
        <w:t>To apply for an expansion grant, project applicants must submit separate renewal and new project applications, and both must be ranked by the CoC with unique rank numbers.</w:t>
      </w:r>
    </w:p>
    <w:p w14:paraId="6FEFF2BE" w14:textId="02245F54" w:rsidR="002C2ACC" w:rsidRPr="00733CAA" w:rsidRDefault="00733CAA" w:rsidP="00733CAA">
      <w:pPr>
        <w:rPr>
          <w:b/>
          <w:sz w:val="24"/>
        </w:rPr>
      </w:pPr>
      <w:r w:rsidRPr="00733CAA">
        <w:rPr>
          <w:b/>
          <w:sz w:val="24"/>
        </w:rPr>
        <w:t>Grant Consolidations</w:t>
      </w:r>
    </w:p>
    <w:p w14:paraId="7E1679A9" w14:textId="5D70DDE4" w:rsidR="00044690" w:rsidRDefault="00DF3293" w:rsidP="00733CAA">
      <w:pPr>
        <w:spacing w:after="0" w:line="240" w:lineRule="auto"/>
      </w:pPr>
      <w:r>
        <w:t>E</w:t>
      </w:r>
      <w:r w:rsidR="00733CAA">
        <w:t>ligible renewal project applicants</w:t>
      </w:r>
      <w:r>
        <w:t xml:space="preserve"> may</w:t>
      </w:r>
      <w:r w:rsidR="00733CAA">
        <w:t xml:space="preserve"> have the ability to consolidate two or more eligible renewal projects (but no more than </w:t>
      </w:r>
      <w:r w:rsidR="00E13C59">
        <w:t xml:space="preserve">ten </w:t>
      </w:r>
      <w:r w:rsidR="00733CAA">
        <w:t>projects) into one project application during the application process</w:t>
      </w:r>
      <w:r w:rsidR="00E13C59">
        <w:t>, including YHDP</w:t>
      </w:r>
      <w:r w:rsidR="00733CAA">
        <w:t xml:space="preserve">. </w:t>
      </w:r>
      <w:r w:rsidR="00044690">
        <w:t xml:space="preserve"> HUD will not permit projects that have the following characteristics to consolidate:</w:t>
      </w:r>
    </w:p>
    <w:p w14:paraId="4E6F230F" w14:textId="5B5AF938" w:rsidR="00044690" w:rsidRDefault="00044690" w:rsidP="00E06A07">
      <w:pPr>
        <w:pStyle w:val="ListParagraph"/>
        <w:numPr>
          <w:ilvl w:val="0"/>
          <w:numId w:val="15"/>
        </w:numPr>
        <w:spacing w:after="0" w:line="240" w:lineRule="auto"/>
      </w:pPr>
      <w:r>
        <w:lastRenderedPageBreak/>
        <w:t>Outstanding audit or monitoring findings</w:t>
      </w:r>
    </w:p>
    <w:p w14:paraId="3167B734" w14:textId="77777777" w:rsidR="00044690" w:rsidRDefault="00044690" w:rsidP="00E06A07">
      <w:pPr>
        <w:pStyle w:val="ListParagraph"/>
        <w:numPr>
          <w:ilvl w:val="0"/>
          <w:numId w:val="15"/>
        </w:numPr>
        <w:spacing w:after="0" w:line="240" w:lineRule="auto"/>
      </w:pPr>
      <w:r>
        <w:t>Outstanding obligation to HUD that is in arrears</w:t>
      </w:r>
    </w:p>
    <w:p w14:paraId="3158ED2D" w14:textId="77777777" w:rsidR="00044690" w:rsidRDefault="00044690" w:rsidP="00E06A07">
      <w:pPr>
        <w:pStyle w:val="ListParagraph"/>
        <w:numPr>
          <w:ilvl w:val="0"/>
          <w:numId w:val="15"/>
        </w:numPr>
        <w:spacing w:after="0" w:line="240" w:lineRule="auto"/>
      </w:pPr>
      <w:r>
        <w:t>Unresolved construction delays</w:t>
      </w:r>
    </w:p>
    <w:p w14:paraId="7816E87B" w14:textId="77777777" w:rsidR="00044690" w:rsidRDefault="00044690" w:rsidP="00E06A07">
      <w:pPr>
        <w:pStyle w:val="ListParagraph"/>
        <w:numPr>
          <w:ilvl w:val="0"/>
          <w:numId w:val="15"/>
        </w:numPr>
        <w:spacing w:after="0" w:line="240" w:lineRule="auto"/>
      </w:pPr>
      <w:r>
        <w:t>History of poor financial management/drawdown issues</w:t>
      </w:r>
    </w:p>
    <w:p w14:paraId="482708E5" w14:textId="77777777" w:rsidR="00044690" w:rsidRDefault="00044690" w:rsidP="00E06A07">
      <w:pPr>
        <w:pStyle w:val="ListParagraph"/>
        <w:numPr>
          <w:ilvl w:val="0"/>
          <w:numId w:val="15"/>
        </w:numPr>
        <w:spacing w:after="0" w:line="240" w:lineRule="auto"/>
      </w:pPr>
      <w:r>
        <w:t>History of low occupancy levels, or lack experience in administering the project type</w:t>
      </w:r>
    </w:p>
    <w:p w14:paraId="16E8FDB3" w14:textId="77777777" w:rsidR="00044690" w:rsidRDefault="00044690" w:rsidP="00E06A07">
      <w:pPr>
        <w:pStyle w:val="ListParagraph"/>
        <w:numPr>
          <w:ilvl w:val="0"/>
          <w:numId w:val="15"/>
        </w:numPr>
        <w:spacing w:after="0" w:line="240" w:lineRule="auto"/>
      </w:pPr>
      <w:r>
        <w:t>Other capacity issues</w:t>
      </w:r>
    </w:p>
    <w:p w14:paraId="1E2FAAF9" w14:textId="53B4E1AE" w:rsidR="00E13C59" w:rsidRDefault="00044690" w:rsidP="00044690">
      <w:pPr>
        <w:spacing w:after="0" w:line="240" w:lineRule="auto"/>
      </w:pPr>
      <w:r>
        <w:t>HUD will not permit</w:t>
      </w:r>
      <w:r w:rsidR="007055CE">
        <w:t xml:space="preserve"> </w:t>
      </w:r>
      <w:r w:rsidR="00E13C59">
        <w:t>the following projects to be consolidated:</w:t>
      </w:r>
    </w:p>
    <w:p w14:paraId="43398AAA" w14:textId="65059AE2" w:rsidR="00E13C59" w:rsidRDefault="00E13C59" w:rsidP="007055CE">
      <w:pPr>
        <w:pStyle w:val="ListParagraph"/>
        <w:numPr>
          <w:ilvl w:val="0"/>
          <w:numId w:val="19"/>
        </w:numPr>
        <w:spacing w:after="0" w:line="240" w:lineRule="auto"/>
      </w:pPr>
      <w:r>
        <w:t>YHDP renewal project cannot consolidate with a non-YHDP project</w:t>
      </w:r>
    </w:p>
    <w:p w14:paraId="5FD89514" w14:textId="4022E847" w:rsidR="00E13C59" w:rsidRDefault="00E13C59" w:rsidP="007055CE">
      <w:pPr>
        <w:pStyle w:val="ListParagraph"/>
        <w:numPr>
          <w:ilvl w:val="0"/>
          <w:numId w:val="19"/>
        </w:numPr>
        <w:spacing w:after="0" w:line="240" w:lineRule="auto"/>
      </w:pPr>
      <w:r>
        <w:t>YHDP replacement project cannot consolidate</w:t>
      </w:r>
    </w:p>
    <w:p w14:paraId="6E0569A3" w14:textId="3CA5ED0F" w:rsidR="00E13C59" w:rsidRDefault="00E13C59" w:rsidP="007055CE">
      <w:pPr>
        <w:pStyle w:val="ListParagraph"/>
        <w:numPr>
          <w:ilvl w:val="0"/>
          <w:numId w:val="19"/>
        </w:numPr>
        <w:spacing w:after="0" w:line="240" w:lineRule="auto"/>
      </w:pPr>
      <w:r>
        <w:t>T</w:t>
      </w:r>
      <w:r w:rsidR="00044690">
        <w:t xml:space="preserve">ransitional housing and a permanent housing project to consolidate to form a Joint TH and PH-RRH component project </w:t>
      </w:r>
    </w:p>
    <w:p w14:paraId="666C5F57" w14:textId="7D3D7C96" w:rsidR="00243D0B" w:rsidRDefault="00E13C59" w:rsidP="007055CE">
      <w:pPr>
        <w:pStyle w:val="ListParagraph"/>
        <w:numPr>
          <w:ilvl w:val="0"/>
          <w:numId w:val="19"/>
        </w:numPr>
        <w:spacing w:after="0" w:line="240" w:lineRule="auto"/>
      </w:pPr>
      <w:r>
        <w:t xml:space="preserve">Transition grants </w:t>
      </w:r>
      <w:r w:rsidR="00044690">
        <w:t>consolidat</w:t>
      </w:r>
      <w:r w:rsidR="00243D0B">
        <w:t>ing</w:t>
      </w:r>
      <w:r w:rsidR="00044690">
        <w:t xml:space="preserve"> with any other project. </w:t>
      </w:r>
    </w:p>
    <w:p w14:paraId="6AED6657" w14:textId="77777777" w:rsidR="00243D0B" w:rsidRDefault="00243D0B" w:rsidP="00243D0B">
      <w:pPr>
        <w:spacing w:after="0" w:line="240" w:lineRule="auto"/>
      </w:pPr>
    </w:p>
    <w:p w14:paraId="24E146CC" w14:textId="77777777" w:rsidR="00F1724C" w:rsidRPr="00A97C5B" w:rsidRDefault="00DF3293" w:rsidP="00F1724C">
      <w:r>
        <w:t xml:space="preserve">If you are interested in pursuing a grant consolidation, please notify </w:t>
      </w:r>
      <w:hyperlink r:id="rId20" w:history="1">
        <w:r w:rsidR="00F1724C" w:rsidRPr="0043276E">
          <w:rPr>
            <w:rStyle w:val="Hyperlink"/>
          </w:rPr>
          <w:t>HSPApplications@baltimorecity.gov</w:t>
        </w:r>
      </w:hyperlink>
      <w:r w:rsidR="00F1724C" w:rsidRPr="00A97C5B">
        <w:t xml:space="preserve">. </w:t>
      </w:r>
    </w:p>
    <w:p w14:paraId="4C654605" w14:textId="5547219C" w:rsidR="00B5496B" w:rsidRPr="007055CE" w:rsidRDefault="00B5496B" w:rsidP="00F1724C">
      <w:pPr>
        <w:spacing w:after="0" w:line="240" w:lineRule="auto"/>
        <w:rPr>
          <w:b/>
          <w:sz w:val="24"/>
        </w:rPr>
      </w:pPr>
      <w:r w:rsidRPr="007055CE">
        <w:rPr>
          <w:b/>
          <w:sz w:val="24"/>
        </w:rPr>
        <w:t>YHDP Renewal or Replacement</w:t>
      </w:r>
    </w:p>
    <w:p w14:paraId="4A461BF4" w14:textId="77777777" w:rsidR="00B5496B" w:rsidRDefault="00B5496B" w:rsidP="00B5496B">
      <w:pPr>
        <w:tabs>
          <w:tab w:val="left" w:pos="450"/>
        </w:tabs>
        <w:spacing w:after="0" w:line="240" w:lineRule="auto"/>
      </w:pPr>
    </w:p>
    <w:p w14:paraId="38AAFCA7" w14:textId="30E29B2B" w:rsidR="008A7DCC" w:rsidRDefault="00B5496B" w:rsidP="008A7DCC">
      <w:pPr>
        <w:tabs>
          <w:tab w:val="left" w:pos="450"/>
        </w:tabs>
        <w:spacing w:after="0" w:line="240" w:lineRule="auto"/>
      </w:pPr>
      <w:r>
        <w:t>The Consolidated Appropriations Act, 2021 permits the renewal or replacement of YHDP projects under the CoC Program; therefore, a renewing YHDP project may choose to replace its current program project with a new project which may include activities ineligible under the CoC Program, or portions of its current program design, to conduct activities that are ineligible with CoC Program funds provided the replacement project demonstrates it will direc</w:t>
      </w:r>
      <w:r w:rsidR="008A7DCC">
        <w:t xml:space="preserve">tly address youth homelessness. </w:t>
      </w:r>
      <w:r>
        <w:t xml:space="preserve">If an eligible YHDP renewal project applicant wants to submit a YHDP replacement project application in lieu of submitting a renewal project application, it must include the grant </w:t>
      </w:r>
      <w:r>
        <w:lastRenderedPageBreak/>
        <w:t xml:space="preserve">number from the YHDP renewal project being replaced in the YHDP replacement project application. </w:t>
      </w:r>
    </w:p>
    <w:p w14:paraId="7806F996" w14:textId="77777777" w:rsidR="008A7DCC" w:rsidRDefault="008A7DCC" w:rsidP="008A7DCC">
      <w:pPr>
        <w:tabs>
          <w:tab w:val="left" w:pos="450"/>
        </w:tabs>
        <w:spacing w:after="0" w:line="240" w:lineRule="auto"/>
      </w:pPr>
    </w:p>
    <w:p w14:paraId="200D2CE3" w14:textId="3A7A11BB" w:rsidR="008A7DCC" w:rsidRDefault="00B5496B" w:rsidP="008A7DCC">
      <w:pPr>
        <w:tabs>
          <w:tab w:val="left" w:pos="450"/>
        </w:tabs>
        <w:spacing w:after="0" w:line="240" w:lineRule="auto"/>
      </w:pPr>
      <w:r>
        <w:t>If a renewing YHDP project chooses to replace some or all current activities, it must submit a YHDP replacement project application and it will be reviewed by HUD to ensure that the activities requested are eligible and do not exceed the ARA of the renewal project that is being replaced; however, the replacement YHDP project will not be rejected (unless a renewal YHDP project application has been submitted for the same project being replaced).</w:t>
      </w:r>
    </w:p>
    <w:p w14:paraId="63B1D8E6" w14:textId="77777777" w:rsidR="008A7DCC" w:rsidRDefault="008A7DCC" w:rsidP="008A7DCC">
      <w:pPr>
        <w:tabs>
          <w:tab w:val="left" w:pos="450"/>
        </w:tabs>
        <w:spacing w:after="0" w:line="240" w:lineRule="auto"/>
      </w:pPr>
    </w:p>
    <w:p w14:paraId="41DDBF51" w14:textId="77777777" w:rsidR="008A7DCC" w:rsidRDefault="008A7DCC" w:rsidP="008A7DCC">
      <w:pPr>
        <w:tabs>
          <w:tab w:val="left" w:pos="450"/>
        </w:tabs>
        <w:spacing w:after="0" w:line="240" w:lineRule="auto"/>
      </w:pPr>
      <w:r>
        <w:t>Y</w:t>
      </w:r>
      <w:r w:rsidR="00B5496B">
        <w:t>HDP replacement projects may also choose to submit applications for the following special YHDP activities in addition to activities eligible under the CoC program. The following options would not meet CoC program requirements but may be used to carry out YHDP projects. The following activities, which are ineligible under the CoC Program, may also be included in a YHDP replacement project and award:</w:t>
      </w:r>
    </w:p>
    <w:p w14:paraId="14D9B738" w14:textId="77777777" w:rsidR="008A7DCC" w:rsidRDefault="00B5496B" w:rsidP="008A7DCC">
      <w:pPr>
        <w:pStyle w:val="ListParagraph"/>
        <w:numPr>
          <w:ilvl w:val="0"/>
          <w:numId w:val="23"/>
        </w:numPr>
        <w:tabs>
          <w:tab w:val="left" w:pos="450"/>
        </w:tabs>
        <w:spacing w:after="0" w:line="240" w:lineRule="auto"/>
      </w:pPr>
      <w:r>
        <w:t xml:space="preserve">Housing projects may have leases for a minimum term of 1 month under rental assistance budget line items. </w:t>
      </w:r>
    </w:p>
    <w:p w14:paraId="576AEE8D" w14:textId="77777777" w:rsidR="008A7DCC" w:rsidRDefault="00B5496B" w:rsidP="008A7DCC">
      <w:pPr>
        <w:pStyle w:val="ListParagraph"/>
        <w:numPr>
          <w:ilvl w:val="0"/>
          <w:numId w:val="23"/>
        </w:numPr>
        <w:tabs>
          <w:tab w:val="left" w:pos="450"/>
        </w:tabs>
        <w:spacing w:after="0" w:line="240" w:lineRule="auto"/>
      </w:pPr>
      <w:r>
        <w:t xml:space="preserve">May use leasing, sponsor-based rental assistance, and project-based rental assistance in Rapid Rehousing projects. </w:t>
      </w:r>
    </w:p>
    <w:p w14:paraId="61AA590F" w14:textId="77777777" w:rsidR="008A7DCC" w:rsidRDefault="00B5496B" w:rsidP="008A7DCC">
      <w:pPr>
        <w:pStyle w:val="ListParagraph"/>
        <w:numPr>
          <w:ilvl w:val="0"/>
          <w:numId w:val="23"/>
        </w:numPr>
        <w:tabs>
          <w:tab w:val="left" w:pos="450"/>
        </w:tabs>
        <w:spacing w:after="0" w:line="240" w:lineRule="auto"/>
      </w:pPr>
      <w:r>
        <w:t xml:space="preserve">In addition to the eligible costs listed in 24 CFR 578.59(a), may use project administration funds to support costs associated with involving youth with lived experience in project implementation, execution, and improvement. </w:t>
      </w:r>
    </w:p>
    <w:p w14:paraId="22F047B3" w14:textId="77777777" w:rsidR="008A7DCC" w:rsidRDefault="00B5496B" w:rsidP="008A7DCC">
      <w:pPr>
        <w:pStyle w:val="ListParagraph"/>
        <w:numPr>
          <w:ilvl w:val="0"/>
          <w:numId w:val="23"/>
        </w:numPr>
        <w:tabs>
          <w:tab w:val="left" w:pos="450"/>
        </w:tabs>
        <w:spacing w:after="0" w:line="240" w:lineRule="auto"/>
      </w:pPr>
      <w:r>
        <w:t>May use project administrative funds to attend conferences and trainings that are not HUD-sponsored or HUD-approved, provided that the subject matter is relevant to youth homelessness.</w:t>
      </w:r>
    </w:p>
    <w:p w14:paraId="3E8333EC" w14:textId="77777777" w:rsidR="008A7DCC" w:rsidRDefault="00B5496B" w:rsidP="008A7DCC">
      <w:pPr>
        <w:pStyle w:val="ListParagraph"/>
        <w:numPr>
          <w:ilvl w:val="0"/>
          <w:numId w:val="23"/>
        </w:numPr>
        <w:tabs>
          <w:tab w:val="left" w:pos="450"/>
        </w:tabs>
        <w:spacing w:after="0" w:line="240" w:lineRule="auto"/>
      </w:pPr>
      <w:r>
        <w:t>May employ youth who are receiving services, including housing, from the recipient organization. Recipients that utilize this special YHDP activity must maintain documentation that discloses the nature of work that the youth does, and that the youth is not in a position that creates a conflict of interest.</w:t>
      </w:r>
    </w:p>
    <w:p w14:paraId="76D91B06" w14:textId="77777777" w:rsidR="008A7DCC" w:rsidRDefault="00B5496B" w:rsidP="008A7DCC">
      <w:pPr>
        <w:pStyle w:val="ListParagraph"/>
        <w:numPr>
          <w:ilvl w:val="0"/>
          <w:numId w:val="23"/>
        </w:numPr>
        <w:tabs>
          <w:tab w:val="left" w:pos="450"/>
        </w:tabs>
        <w:spacing w:after="0" w:line="240" w:lineRule="auto"/>
      </w:pPr>
      <w:r>
        <w:t>May use habitability standards in 24 CFR 476.403(c) rather than Housing Quality Standards in 24 CFR 578.75 for short or medium term (up to 24 months) housing assistance. Recipients implementing this special YHDP activity must keep documentation of which standards are applied to the units and proof that the units complied with standards before assistance is provided for every unit funded.</w:t>
      </w:r>
    </w:p>
    <w:p w14:paraId="2CA54F0A" w14:textId="77777777" w:rsidR="008A7DCC" w:rsidRDefault="00B5496B" w:rsidP="008A7DCC">
      <w:pPr>
        <w:pStyle w:val="ListParagraph"/>
        <w:numPr>
          <w:ilvl w:val="0"/>
          <w:numId w:val="23"/>
        </w:numPr>
        <w:tabs>
          <w:tab w:val="left" w:pos="450"/>
        </w:tabs>
        <w:spacing w:after="0" w:line="240" w:lineRule="auto"/>
      </w:pPr>
      <w:r>
        <w:t xml:space="preserve">May provide moving expenses more than one-time to a program participant. (vii) Recipients may provide payments of up to $500 per month for families that provide housing under a host home and kinship care model in order to offset the increased costs associated with having youth housed in the unit. </w:t>
      </w:r>
    </w:p>
    <w:p w14:paraId="0F6FDD70" w14:textId="6E46C94C" w:rsidR="00B5496B" w:rsidRDefault="00B5496B" w:rsidP="008A7DCC">
      <w:pPr>
        <w:pStyle w:val="ListParagraph"/>
        <w:numPr>
          <w:ilvl w:val="0"/>
          <w:numId w:val="23"/>
        </w:numPr>
        <w:tabs>
          <w:tab w:val="left" w:pos="450"/>
        </w:tabs>
        <w:spacing w:after="0" w:line="240" w:lineRule="auto"/>
      </w:pPr>
      <w:r>
        <w:t>May be used for the following if they are necessary to assist program participants to obtain and maintain housing. Recipients and subrecipients must maintain records establishing how it was determined paying the costs was necessary for the program partici</w:t>
      </w:r>
      <w:r>
        <w:lastRenderedPageBreak/>
        <w:t xml:space="preserve">pant to obtain and retain housing and must also conduct an annual assessment of the needs of the program participants and adjust costs accordingly: </w:t>
      </w:r>
    </w:p>
    <w:p w14:paraId="518EBE1F" w14:textId="77777777" w:rsidR="00B5496B" w:rsidRDefault="00B5496B" w:rsidP="008A7DCC">
      <w:pPr>
        <w:pStyle w:val="ListParagraph"/>
        <w:numPr>
          <w:ilvl w:val="1"/>
          <w:numId w:val="24"/>
        </w:numPr>
        <w:tabs>
          <w:tab w:val="left" w:pos="450"/>
        </w:tabs>
        <w:spacing w:after="0" w:line="240" w:lineRule="auto"/>
      </w:pPr>
      <w:r>
        <w:t xml:space="preserve">Security deposits for units in an amount not to exceed 2 months of rent. </w:t>
      </w:r>
    </w:p>
    <w:p w14:paraId="6C207A15" w14:textId="77777777" w:rsidR="00B5496B" w:rsidRDefault="00B5496B" w:rsidP="008A7DCC">
      <w:pPr>
        <w:pStyle w:val="ListParagraph"/>
        <w:numPr>
          <w:ilvl w:val="1"/>
          <w:numId w:val="24"/>
        </w:numPr>
        <w:tabs>
          <w:tab w:val="left" w:pos="450"/>
        </w:tabs>
        <w:spacing w:after="0" w:line="240" w:lineRule="auto"/>
      </w:pPr>
      <w:r>
        <w:t xml:space="preserve">The costs to pay for any damage to housing due to the action of a program participant, which may be paid while the youth continues to reside in the unit. The total costs paid for damage per program participant may not exceed the cost of two-months’ rent. </w:t>
      </w:r>
    </w:p>
    <w:p w14:paraId="34F87B21" w14:textId="77777777" w:rsidR="00B5496B" w:rsidRDefault="00B5496B" w:rsidP="008A7DCC">
      <w:pPr>
        <w:pStyle w:val="ListParagraph"/>
        <w:numPr>
          <w:ilvl w:val="1"/>
          <w:numId w:val="24"/>
        </w:numPr>
        <w:tabs>
          <w:tab w:val="left" w:pos="450"/>
        </w:tabs>
        <w:spacing w:after="0" w:line="240" w:lineRule="auto"/>
      </w:pPr>
      <w:r>
        <w:t xml:space="preserve">The costs of providing household cleaning supplies to clients. </w:t>
      </w:r>
    </w:p>
    <w:p w14:paraId="3B987270" w14:textId="77777777" w:rsidR="00B5496B" w:rsidRDefault="00B5496B" w:rsidP="008A7DCC">
      <w:pPr>
        <w:pStyle w:val="ListParagraph"/>
        <w:numPr>
          <w:ilvl w:val="1"/>
          <w:numId w:val="24"/>
        </w:numPr>
        <w:tabs>
          <w:tab w:val="left" w:pos="450"/>
        </w:tabs>
        <w:spacing w:after="0" w:line="240" w:lineRule="auto"/>
      </w:pPr>
      <w:r>
        <w:t xml:space="preserve">Housing start-up expenses for program participants, including furniture, pots and pans, linens, toiletries, and other household goods, not to exceed $300 in value per program participant. </w:t>
      </w:r>
    </w:p>
    <w:p w14:paraId="626AF72C" w14:textId="77777777" w:rsidR="00B5496B" w:rsidRDefault="00B5496B" w:rsidP="008A7DCC">
      <w:pPr>
        <w:pStyle w:val="ListParagraph"/>
        <w:numPr>
          <w:ilvl w:val="1"/>
          <w:numId w:val="24"/>
        </w:numPr>
        <w:tabs>
          <w:tab w:val="left" w:pos="450"/>
        </w:tabs>
        <w:spacing w:after="0" w:line="240" w:lineRule="auto"/>
      </w:pPr>
      <w:r>
        <w:t xml:space="preserve">The one-time cost of purchasing a cellular phone and service for program participant use, provided access to a cellular phone is necessary to obtain or maintain housing and the costs of the phone and services are reasonable per 2 CFR 200.404. </w:t>
      </w:r>
    </w:p>
    <w:p w14:paraId="3C992D93" w14:textId="77777777" w:rsidR="00B5496B" w:rsidRDefault="00B5496B" w:rsidP="008A7DCC">
      <w:pPr>
        <w:pStyle w:val="ListParagraph"/>
        <w:numPr>
          <w:ilvl w:val="1"/>
          <w:numId w:val="24"/>
        </w:numPr>
        <w:tabs>
          <w:tab w:val="left" w:pos="450"/>
        </w:tabs>
        <w:spacing w:after="0" w:line="240" w:lineRule="auto"/>
      </w:pPr>
      <w:r>
        <w:t>The cost of internet in a program participant’s unit and the costs of the service is reasonable per 2 CFR 200.404.</w:t>
      </w:r>
    </w:p>
    <w:p w14:paraId="5B762B08" w14:textId="77777777" w:rsidR="00B5496B" w:rsidRDefault="00B5496B" w:rsidP="008A7DCC">
      <w:pPr>
        <w:pStyle w:val="ListParagraph"/>
        <w:numPr>
          <w:ilvl w:val="1"/>
          <w:numId w:val="24"/>
        </w:numPr>
        <w:tabs>
          <w:tab w:val="left" w:pos="450"/>
        </w:tabs>
        <w:spacing w:after="0" w:line="240" w:lineRule="auto"/>
      </w:pPr>
      <w:r>
        <w:t xml:space="preserve"> Payment of rental arrears consisting of a one-time payment for up to 6 months of rent in arrears, including any late fees on those arrears. </w:t>
      </w:r>
    </w:p>
    <w:p w14:paraId="5F5DA872" w14:textId="77777777" w:rsidR="00B5496B" w:rsidRDefault="00B5496B" w:rsidP="008A7DCC">
      <w:pPr>
        <w:pStyle w:val="ListParagraph"/>
        <w:numPr>
          <w:ilvl w:val="1"/>
          <w:numId w:val="24"/>
        </w:numPr>
        <w:tabs>
          <w:tab w:val="left" w:pos="450"/>
        </w:tabs>
        <w:spacing w:after="0" w:line="240" w:lineRule="auto"/>
      </w:pPr>
      <w:r>
        <w:t xml:space="preserve">Payment of utility arrears of up to 6 months per service. </w:t>
      </w:r>
    </w:p>
    <w:p w14:paraId="271415C0" w14:textId="77777777" w:rsidR="00B5496B" w:rsidRDefault="00B5496B" w:rsidP="008A7DCC">
      <w:pPr>
        <w:pStyle w:val="ListParagraph"/>
        <w:numPr>
          <w:ilvl w:val="1"/>
          <w:numId w:val="24"/>
        </w:numPr>
        <w:tabs>
          <w:tab w:val="left" w:pos="450"/>
        </w:tabs>
        <w:spacing w:after="0" w:line="240" w:lineRule="auto"/>
      </w:pPr>
      <w:r>
        <w:t xml:space="preserve">Up to three months of utilities for a program participant, based on the utility costs schedule for the unit size and location. </w:t>
      </w:r>
    </w:p>
    <w:p w14:paraId="489335A6" w14:textId="77777777" w:rsidR="00B5496B" w:rsidRDefault="00B5496B" w:rsidP="008A7DCC">
      <w:pPr>
        <w:pStyle w:val="ListParagraph"/>
        <w:numPr>
          <w:ilvl w:val="1"/>
          <w:numId w:val="24"/>
        </w:numPr>
        <w:tabs>
          <w:tab w:val="left" w:pos="450"/>
        </w:tabs>
        <w:spacing w:after="0" w:line="240" w:lineRule="auto"/>
      </w:pPr>
      <w:r>
        <w:lastRenderedPageBreak/>
        <w:t xml:space="preserve">In addition to transportation costs eligible in 24 CFR 578.53(e)(15), a recipient may pay gas and mileage costs for a program participant’s personal vehicle for trips to and from medical care, employment, childcare, or other services eligible under this section. </w:t>
      </w:r>
    </w:p>
    <w:p w14:paraId="527E0568" w14:textId="77777777" w:rsidR="00B5496B" w:rsidRDefault="00B5496B" w:rsidP="008A7DCC">
      <w:pPr>
        <w:pStyle w:val="ListParagraph"/>
        <w:numPr>
          <w:ilvl w:val="1"/>
          <w:numId w:val="24"/>
        </w:numPr>
        <w:tabs>
          <w:tab w:val="left" w:pos="450"/>
        </w:tabs>
        <w:spacing w:after="0" w:line="240" w:lineRule="auto"/>
      </w:pPr>
      <w:r>
        <w:t xml:space="preserve">Legal fees, including court fees, bail bonds, and required courses and equipment. </w:t>
      </w:r>
    </w:p>
    <w:p w14:paraId="0EA3E525" w14:textId="77777777" w:rsidR="008A7DCC" w:rsidRDefault="00B5496B" w:rsidP="008A7DCC">
      <w:pPr>
        <w:pStyle w:val="ListParagraph"/>
        <w:numPr>
          <w:ilvl w:val="1"/>
          <w:numId w:val="24"/>
        </w:numPr>
        <w:tabs>
          <w:tab w:val="left" w:pos="450"/>
        </w:tabs>
        <w:spacing w:after="0" w:line="240" w:lineRule="auto"/>
      </w:pPr>
      <w:r>
        <w:t xml:space="preserve">Program participant’s past driving fines and fees that are blocking a young person from being able to obtain or renew a driver’s license and impacting their ability to obtain or maintain housing. Additionally, recipients may pay for program participants costs for insurance and registration for personal vehicles, if the personal vehicle is necessary to reach medical care, employment, childcare, or other services eligible under this section. </w:t>
      </w:r>
    </w:p>
    <w:p w14:paraId="069B27E9" w14:textId="77777777" w:rsidR="008A7DCC" w:rsidRDefault="00B5496B" w:rsidP="008A7DCC">
      <w:pPr>
        <w:pStyle w:val="ListParagraph"/>
        <w:numPr>
          <w:ilvl w:val="0"/>
          <w:numId w:val="24"/>
        </w:numPr>
        <w:tabs>
          <w:tab w:val="left" w:pos="450"/>
        </w:tabs>
        <w:spacing w:after="0" w:line="240" w:lineRule="auto"/>
      </w:pPr>
      <w:r>
        <w:t xml:space="preserve">May provide up to 36 months of Rapid Rehousing rental assistance to a program participant if the recipient demonstrates (1) the method it will use to determine which youth need rental assistance beyond 24 months and (2) the services and resources that will be offered to ensure youth are able to sustain their housing at the end of the 36 months of assistance. </w:t>
      </w:r>
    </w:p>
    <w:p w14:paraId="266D945B" w14:textId="77777777" w:rsidR="008A7DCC" w:rsidRDefault="00B5496B" w:rsidP="008A7DCC">
      <w:pPr>
        <w:pStyle w:val="ListParagraph"/>
        <w:numPr>
          <w:ilvl w:val="0"/>
          <w:numId w:val="24"/>
        </w:numPr>
        <w:tabs>
          <w:tab w:val="left" w:pos="450"/>
        </w:tabs>
        <w:spacing w:after="0" w:line="240" w:lineRule="auto"/>
      </w:pPr>
      <w:r>
        <w:t xml:space="preserve">May continue providing supportive services to program participants for up to 24 months after the program participant exits homelessness, transitional housing or after the end of housing assistance if the recipient demonstrates: 1) the proposed length of extended services to be provided; 2) the method it will use to determine whether services are still necessary; and 3) how those services will result in self-sufficiency and ensure stable housing for the program participant. </w:t>
      </w:r>
    </w:p>
    <w:p w14:paraId="6144461E" w14:textId="77777777" w:rsidR="008A7DCC" w:rsidRDefault="00B5496B" w:rsidP="008A7DCC">
      <w:pPr>
        <w:pStyle w:val="ListParagraph"/>
        <w:numPr>
          <w:ilvl w:val="0"/>
          <w:numId w:val="24"/>
        </w:numPr>
        <w:tabs>
          <w:tab w:val="left" w:pos="450"/>
        </w:tabs>
        <w:spacing w:after="0" w:line="240" w:lineRule="auto"/>
      </w:pPr>
      <w:r>
        <w:t xml:space="preserve">May continue providing supportive services to program participants for up to 36 months after the program participant exits homelessness, if the services are in connection with housing assistance, such as the Foster Youth to Independence initiative, or if the recipient can demonstrate that extended supportive services ensures continuity of case workers for program participants. </w:t>
      </w:r>
    </w:p>
    <w:p w14:paraId="2131E5A0" w14:textId="77777777" w:rsidR="008A7DCC" w:rsidRDefault="00B5496B" w:rsidP="008A7DCC">
      <w:pPr>
        <w:pStyle w:val="ListParagraph"/>
        <w:numPr>
          <w:ilvl w:val="0"/>
          <w:numId w:val="24"/>
        </w:numPr>
        <w:tabs>
          <w:tab w:val="left" w:pos="450"/>
        </w:tabs>
        <w:spacing w:after="0" w:line="240" w:lineRule="auto"/>
      </w:pPr>
      <w:r>
        <w:t xml:space="preserve">Rental assistance may be combined with leasing or operating funds in the same building, provided that the recipient submits a project plan that includes safeguards to ensure that no part of the project would receive a double subsidy. </w:t>
      </w:r>
    </w:p>
    <w:p w14:paraId="6A827404" w14:textId="5C82CE51" w:rsidR="00B5496B" w:rsidRDefault="00B5496B" w:rsidP="008A7DCC">
      <w:pPr>
        <w:pStyle w:val="ListParagraph"/>
        <w:numPr>
          <w:ilvl w:val="0"/>
          <w:numId w:val="24"/>
        </w:numPr>
        <w:tabs>
          <w:tab w:val="left" w:pos="450"/>
        </w:tabs>
        <w:spacing w:after="0" w:line="240" w:lineRule="auto"/>
      </w:pPr>
      <w:r>
        <w:t xml:space="preserve">May provide payments of up to $1000 per month for families that provide housing under a host home and kinship care model, provided that the recipient can show that the additional cost is necessary to recruit hosts to the program. </w:t>
      </w:r>
    </w:p>
    <w:p w14:paraId="72A2DAD0" w14:textId="0266D5F9" w:rsidR="00B5496B" w:rsidRDefault="00A53102" w:rsidP="00A53102">
      <w:r>
        <w:br w:type="page"/>
      </w:r>
    </w:p>
    <w:p w14:paraId="2B057290" w14:textId="236A64E2" w:rsidR="00AC6C3A" w:rsidRDefault="00AC6C3A" w:rsidP="00733CAA">
      <w:pPr>
        <w:spacing w:after="0" w:line="240" w:lineRule="auto"/>
      </w:pPr>
    </w:p>
    <w:p w14:paraId="6876A219" w14:textId="4B36480E" w:rsidR="006D5A8E" w:rsidRDefault="0090109C" w:rsidP="007C1E3B">
      <w:pPr>
        <w:spacing w:after="0" w:line="240" w:lineRule="auto"/>
        <w:rPr>
          <w:b/>
          <w:color w:val="CF7347"/>
          <w:sz w:val="28"/>
        </w:rPr>
      </w:pPr>
      <w:r w:rsidRPr="00047825">
        <w:rPr>
          <w:b/>
          <w:noProof/>
          <w:color w:val="CF7347"/>
          <w:sz w:val="28"/>
        </w:rPr>
        <mc:AlternateContent>
          <mc:Choice Requires="wps">
            <w:drawing>
              <wp:anchor distT="0" distB="0" distL="114300" distR="114300" simplePos="0" relativeHeight="251664384" behindDoc="0" locked="0" layoutInCell="1" allowOverlap="1" wp14:anchorId="3EE75F3C" wp14:editId="02A6ACE0">
                <wp:simplePos x="0" y="0"/>
                <wp:positionH relativeFrom="column">
                  <wp:posOffset>-180975</wp:posOffset>
                </wp:positionH>
                <wp:positionV relativeFrom="paragraph">
                  <wp:posOffset>-52070</wp:posOffset>
                </wp:positionV>
                <wp:extent cx="682942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0D0BE81F" w14:textId="1D7D383C" w:rsidR="00B052A1" w:rsidRPr="00047825" w:rsidRDefault="00B052A1" w:rsidP="0090109C">
                            <w:pPr>
                              <w:jc w:val="center"/>
                              <w:rPr>
                                <w:b/>
                                <w:color w:val="FFFFFF" w:themeColor="background1"/>
                                <w:sz w:val="32"/>
                              </w:rPr>
                            </w:pPr>
                            <w:r>
                              <w:rPr>
                                <w:b/>
                                <w:color w:val="FFFFFF" w:themeColor="background1"/>
                                <w:sz w:val="32"/>
                              </w:rPr>
                              <w:t>FY2021 HUD PRIORITIES AND NATIONAL SCORING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75F3C" id="Text Box 3" o:spid="_x0000_s1029" type="#_x0000_t202" style="position:absolute;margin-left:-14.25pt;margin-top:-4.1pt;width:537.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" fillcolor="#cf7347" stroked="f">
                <v:textbox>
                  <w:txbxContent>
                    <w:p w14:paraId="0D0BE81F" w14:textId="1D7D383C" w:rsidR="00B052A1" w:rsidRPr="00047825" w:rsidRDefault="00B052A1" w:rsidP="0090109C">
                      <w:pPr>
                        <w:jc w:val="center"/>
                        <w:rPr>
                          <w:b/>
                          <w:color w:val="FFFFFF" w:themeColor="background1"/>
                          <w:sz w:val="32"/>
                        </w:rPr>
                      </w:pPr>
                      <w:r>
                        <w:rPr>
                          <w:b/>
                          <w:color w:val="FFFFFF" w:themeColor="background1"/>
                          <w:sz w:val="32"/>
                        </w:rPr>
                        <w:t>FY2021 HUD PRIORITIES AND NATIONAL SCORING</w:t>
                      </w:r>
                    </w:p>
                  </w:txbxContent>
                </v:textbox>
              </v:shape>
            </w:pict>
          </mc:Fallback>
        </mc:AlternateContent>
      </w:r>
    </w:p>
    <w:p w14:paraId="2A359098" w14:textId="59F4A071" w:rsidR="00E37B5D" w:rsidRPr="0090109C" w:rsidRDefault="0090109C" w:rsidP="00F56D76">
      <w:pPr>
        <w:spacing w:line="240" w:lineRule="auto"/>
        <w:rPr>
          <w:b/>
          <w:sz w:val="24"/>
        </w:rPr>
      </w:pPr>
      <w:bookmarkStart w:id="4" w:name="hud"/>
      <w:bookmarkEnd w:id="4"/>
      <w:r>
        <w:rPr>
          <w:b/>
          <w:sz w:val="24"/>
        </w:rPr>
        <w:br/>
        <w:t>Abo</w:t>
      </w:r>
      <w:bookmarkStart w:id="5" w:name="aboutnofa"/>
      <w:bookmarkEnd w:id="5"/>
      <w:r>
        <w:rPr>
          <w:b/>
          <w:sz w:val="24"/>
        </w:rPr>
        <w:t xml:space="preserve">ut the </w:t>
      </w:r>
      <w:r w:rsidR="00FC345C">
        <w:rPr>
          <w:b/>
          <w:sz w:val="24"/>
        </w:rPr>
        <w:t>NOFO</w:t>
      </w:r>
      <w:r w:rsidR="00F56D76" w:rsidRPr="0090109C">
        <w:rPr>
          <w:b/>
          <w:sz w:val="24"/>
        </w:rPr>
        <w:t xml:space="preserve"> </w:t>
      </w:r>
    </w:p>
    <w:p w14:paraId="7FD76888" w14:textId="60F170F4" w:rsidR="0090109C" w:rsidRDefault="0020141B" w:rsidP="00944000">
      <w:pPr>
        <w:spacing w:after="0" w:line="240" w:lineRule="auto"/>
      </w:pPr>
      <w:r>
        <w:t xml:space="preserve">The </w:t>
      </w:r>
      <w:r w:rsidR="00FC345C">
        <w:t>NOFO</w:t>
      </w:r>
      <w:r w:rsidR="00FA2BB7">
        <w:t xml:space="preserve"> submission</w:t>
      </w:r>
      <w:r w:rsidR="0090109C">
        <w:t xml:space="preserve"> consists of three parts:</w:t>
      </w:r>
    </w:p>
    <w:p w14:paraId="541A4DD1" w14:textId="7F15B5D1" w:rsidR="0020141B" w:rsidRDefault="0090109C" w:rsidP="002B539D">
      <w:pPr>
        <w:pStyle w:val="ListParagraph"/>
        <w:numPr>
          <w:ilvl w:val="0"/>
          <w:numId w:val="8"/>
        </w:numPr>
        <w:spacing w:before="240" w:after="0" w:line="240" w:lineRule="auto"/>
      </w:pPr>
      <w:r w:rsidRPr="007978D2">
        <w:rPr>
          <w:i/>
        </w:rPr>
        <w:t>CoC Application</w:t>
      </w:r>
      <w:r>
        <w:t xml:space="preserve"> –This is the CoC’s overall application, and primarily focuses on the CoC’s progress on ending homelessness, strategic initiatives, and adoption of HUD’s funding and policy priorities.  It is a combination of narrative questions and data tables. </w:t>
      </w:r>
      <w:r w:rsidR="00A11884">
        <w:t xml:space="preserve"> </w:t>
      </w:r>
    </w:p>
    <w:p w14:paraId="7EED15F9" w14:textId="77777777" w:rsidR="007978D2" w:rsidRDefault="007978D2" w:rsidP="007978D2">
      <w:pPr>
        <w:pStyle w:val="ListParagraph"/>
        <w:spacing w:before="240" w:after="0" w:line="240" w:lineRule="auto"/>
      </w:pPr>
    </w:p>
    <w:p w14:paraId="3DA6F048" w14:textId="51220EDF" w:rsidR="00653AC5" w:rsidRDefault="0090109C" w:rsidP="00A87A42">
      <w:pPr>
        <w:pStyle w:val="ListParagraph"/>
        <w:numPr>
          <w:ilvl w:val="0"/>
          <w:numId w:val="8"/>
        </w:numPr>
        <w:spacing w:before="240" w:after="0" w:line="240" w:lineRule="auto"/>
      </w:pPr>
      <w:r w:rsidRPr="00653AC5">
        <w:rPr>
          <w:i/>
        </w:rPr>
        <w:t>Project Ranking</w:t>
      </w:r>
      <w:r w:rsidR="0020141B">
        <w:t xml:space="preserve"> </w:t>
      </w:r>
      <w:r>
        <w:t>—</w:t>
      </w:r>
      <w:r w:rsidR="0020141B">
        <w:t xml:space="preserve"> </w:t>
      </w:r>
      <w:r>
        <w:t xml:space="preserve">This is an ordered ranking of all renewal and new projects the CoC is submitting in the application for funding.  </w:t>
      </w:r>
      <w:r w:rsidR="0020141B">
        <w:t xml:space="preserve">The project ranking should reflect HUD funding priorities, local need, and a data-driven process for evaluating individual project performance.  </w:t>
      </w:r>
      <w:r w:rsidR="00653AC5">
        <w:t xml:space="preserve">Prior to the ranking process, the CoC completes a full performance evaluation of all renewal projects and determines whether to include each individual project in the ranking.  </w:t>
      </w:r>
      <w:r w:rsidR="007700FD">
        <w:t>YHDP renewal or replacement projects will not be ranked.</w:t>
      </w:r>
    </w:p>
    <w:p w14:paraId="2D5A4282" w14:textId="77777777" w:rsidR="00653AC5" w:rsidRDefault="00653AC5" w:rsidP="00653AC5">
      <w:pPr>
        <w:pStyle w:val="ListParagraph"/>
      </w:pPr>
    </w:p>
    <w:p w14:paraId="60D31EEF" w14:textId="77777777" w:rsidR="007700FD" w:rsidRDefault="0020141B" w:rsidP="00653AC5">
      <w:pPr>
        <w:pStyle w:val="ListParagraph"/>
        <w:spacing w:before="240" w:after="0" w:line="240" w:lineRule="auto"/>
      </w:pPr>
      <w:r>
        <w:t>HUD requires the project ranking consist of a Tier 1 and Tier 2.  HUD typically has enough funding to fund all projects that meet threshold criteria and are in Tier 1.  Projects in Tier 2 are considered “at-risk” of not being funded if the overall CoC score and individual project score are not competitive at the nati</w:t>
      </w:r>
      <w:r w:rsidR="00733CAA">
        <w:t xml:space="preserve">onal level. </w:t>
      </w:r>
      <w:r w:rsidR="007978D2">
        <w:t xml:space="preserve"> </w:t>
      </w:r>
      <w:r w:rsidR="007700FD">
        <w:t xml:space="preserve">YHDP Projects will not fall under Tier 1 or Tier 2. </w:t>
      </w:r>
      <w:r w:rsidR="007978D2">
        <w:t xml:space="preserve"> </w:t>
      </w:r>
    </w:p>
    <w:p w14:paraId="3A97E022" w14:textId="77777777" w:rsidR="007700FD" w:rsidRDefault="007700FD" w:rsidP="00653AC5">
      <w:pPr>
        <w:pStyle w:val="ListParagraph"/>
        <w:spacing w:before="240" w:after="0" w:line="240" w:lineRule="auto"/>
      </w:pPr>
    </w:p>
    <w:p w14:paraId="683887C1" w14:textId="728D8799" w:rsidR="0090109C" w:rsidRDefault="007978D2" w:rsidP="00653AC5">
      <w:pPr>
        <w:pStyle w:val="ListParagraph"/>
        <w:spacing w:before="240" w:after="0" w:line="240" w:lineRule="auto"/>
      </w:pPr>
      <w:r>
        <w:t>For FY202</w:t>
      </w:r>
      <w:r w:rsidR="004F3BDA">
        <w:t>1</w:t>
      </w:r>
      <w:r w:rsidR="0020141B">
        <w:t>, the tiers are as follows:</w:t>
      </w:r>
    </w:p>
    <w:p w14:paraId="21CC36C9" w14:textId="7E444D44" w:rsidR="0020141B" w:rsidRDefault="0020141B" w:rsidP="00A87A42">
      <w:pPr>
        <w:pStyle w:val="ListParagraph"/>
        <w:numPr>
          <w:ilvl w:val="1"/>
          <w:numId w:val="9"/>
        </w:numPr>
        <w:spacing w:before="240" w:after="0" w:line="240" w:lineRule="auto"/>
      </w:pPr>
      <w:r>
        <w:t>T</w:t>
      </w:r>
      <w:r w:rsidR="00A11884">
        <w:t>ier 1</w:t>
      </w:r>
      <w:r w:rsidR="008A7DCC">
        <w:t>: $22,501,405</w:t>
      </w:r>
    </w:p>
    <w:p w14:paraId="39131413" w14:textId="3182B510" w:rsidR="003A4424" w:rsidRDefault="00A11884" w:rsidP="002B539D">
      <w:pPr>
        <w:pStyle w:val="ListParagraph"/>
        <w:numPr>
          <w:ilvl w:val="1"/>
          <w:numId w:val="9"/>
        </w:numPr>
        <w:spacing w:before="240" w:after="0" w:line="240" w:lineRule="auto"/>
      </w:pPr>
      <w:r>
        <w:t xml:space="preserve">Tier </w:t>
      </w:r>
      <w:r w:rsidR="002A1218">
        <w:t>2</w:t>
      </w:r>
      <w:r w:rsidR="008A7DCC">
        <w:t>: $1,206,587</w:t>
      </w:r>
    </w:p>
    <w:p w14:paraId="514804DE" w14:textId="77777777" w:rsidR="007978D2" w:rsidRPr="003A4424" w:rsidRDefault="007978D2" w:rsidP="00243D0B">
      <w:pPr>
        <w:pStyle w:val="ListParagraph"/>
        <w:spacing w:before="240" w:after="0" w:line="240" w:lineRule="auto"/>
        <w:ind w:left="1440"/>
      </w:pPr>
    </w:p>
    <w:p w14:paraId="32D4C908" w14:textId="545B5287" w:rsidR="00AC1B42" w:rsidRDefault="0090109C" w:rsidP="007978D2">
      <w:pPr>
        <w:pStyle w:val="ListParagraph"/>
        <w:numPr>
          <w:ilvl w:val="0"/>
          <w:numId w:val="8"/>
        </w:numPr>
        <w:spacing w:before="240" w:after="0" w:line="240" w:lineRule="auto"/>
      </w:pPr>
      <w:r w:rsidRPr="00653AC5">
        <w:rPr>
          <w:i/>
        </w:rPr>
        <w:t>Project Applications</w:t>
      </w:r>
      <w:r w:rsidR="00653AC5">
        <w:t xml:space="preserve"> – Each project approved for inclusion in the local project ranking is included in the CoC’s submission to HUD.  Each project application must meet </w:t>
      </w:r>
      <w:r w:rsidR="00653AC5">
        <w:lastRenderedPageBreak/>
        <w:t xml:space="preserve">HUD’s threshold review in order to receive funding in addition to </w:t>
      </w:r>
      <w:r w:rsidR="002A1218">
        <w:t xml:space="preserve">undergoing </w:t>
      </w:r>
      <w:r w:rsidR="00653AC5">
        <w:t>the competitive scoring process.</w:t>
      </w:r>
    </w:p>
    <w:p w14:paraId="7788F63C" w14:textId="77777777" w:rsidR="00A53102" w:rsidRDefault="00A53102">
      <w:pPr>
        <w:rPr>
          <w:b/>
          <w:sz w:val="24"/>
        </w:rPr>
      </w:pPr>
      <w:r>
        <w:rPr>
          <w:b/>
          <w:sz w:val="24"/>
        </w:rPr>
        <w:br w:type="page"/>
      </w:r>
    </w:p>
    <w:p w14:paraId="2B37AB5C" w14:textId="04D1968B" w:rsidR="0020141B" w:rsidRPr="0020141B" w:rsidRDefault="0020141B" w:rsidP="0020141B">
      <w:pPr>
        <w:spacing w:line="240" w:lineRule="auto"/>
        <w:rPr>
          <w:b/>
          <w:sz w:val="24"/>
        </w:rPr>
      </w:pPr>
      <w:r w:rsidRPr="0020141B">
        <w:rPr>
          <w:b/>
          <w:sz w:val="24"/>
        </w:rPr>
        <w:lastRenderedPageBreak/>
        <w:t>Tier 2 Project S</w:t>
      </w:r>
      <w:bookmarkStart w:id="6" w:name="tier2"/>
      <w:bookmarkEnd w:id="6"/>
      <w:r w:rsidRPr="0020141B">
        <w:rPr>
          <w:b/>
          <w:sz w:val="24"/>
        </w:rPr>
        <w:t>coring</w:t>
      </w:r>
      <w:r w:rsidR="00C24BEB">
        <w:rPr>
          <w:b/>
          <w:sz w:val="24"/>
        </w:rPr>
        <w:t xml:space="preserve"> (non-DV projects)</w:t>
      </w:r>
    </w:p>
    <w:p w14:paraId="6BFF6493" w14:textId="17C37BFF" w:rsidR="0020141B" w:rsidRDefault="0020141B" w:rsidP="00944000">
      <w:pPr>
        <w:spacing w:after="0" w:line="240" w:lineRule="auto"/>
      </w:pPr>
      <w:r>
        <w:t>Once projects are ranked into Tier 1 and Tier 2, HUD scores all Tier 2 projects and competitively awards funds at the national level.  HUD’s scoring criteria f</w:t>
      </w:r>
      <w:r w:rsidR="004F3BDA">
        <w:t>or Tier 2 projects in the FY2021</w:t>
      </w:r>
      <w:r>
        <w:t xml:space="preserve"> competition </w:t>
      </w:r>
      <w:r w:rsidR="00CC44C1">
        <w:t>is based on a 100-point scale and consists of the following</w:t>
      </w:r>
      <w:r w:rsidR="00733CAA">
        <w:t xml:space="preserve">.  </w:t>
      </w:r>
    </w:p>
    <w:p w14:paraId="503A9FE1" w14:textId="77777777" w:rsidR="00CC44C1" w:rsidRDefault="00CC44C1" w:rsidP="00944000">
      <w:pPr>
        <w:spacing w:after="0" w:line="240" w:lineRule="auto"/>
      </w:pPr>
    </w:p>
    <w:tbl>
      <w:tblPr>
        <w:tblStyle w:val="TableGrid"/>
        <w:tblW w:w="0" w:type="auto"/>
        <w:tblInd w:w="288" w:type="dxa"/>
        <w:tblLook w:val="04A0" w:firstRow="1" w:lastRow="0" w:firstColumn="1" w:lastColumn="0" w:noHBand="0" w:noVBand="1"/>
      </w:tblPr>
      <w:tblGrid>
        <w:gridCol w:w="1890"/>
        <w:gridCol w:w="2430"/>
        <w:gridCol w:w="5400"/>
      </w:tblGrid>
      <w:tr w:rsidR="00CC44C1" w14:paraId="3536671F" w14:textId="77777777" w:rsidTr="003A4424">
        <w:tc>
          <w:tcPr>
            <w:tcW w:w="9720" w:type="dxa"/>
            <w:gridSpan w:val="3"/>
            <w:shd w:val="clear" w:color="auto" w:fill="878865"/>
            <w:vAlign w:val="center"/>
          </w:tcPr>
          <w:p w14:paraId="34C99A6F" w14:textId="35996220" w:rsidR="00CC44C1" w:rsidRPr="00CC44C1" w:rsidRDefault="00CC44C1" w:rsidP="00CC44C1">
            <w:pPr>
              <w:jc w:val="center"/>
              <w:rPr>
                <w:b/>
                <w:color w:val="FFFFFF" w:themeColor="background1"/>
              </w:rPr>
            </w:pPr>
            <w:r w:rsidRPr="00CC44C1">
              <w:rPr>
                <w:b/>
                <w:color w:val="FFFFFF" w:themeColor="background1"/>
                <w:sz w:val="28"/>
              </w:rPr>
              <w:t>Tier 2 Project Scoring Criteria</w:t>
            </w:r>
          </w:p>
        </w:tc>
      </w:tr>
      <w:tr w:rsidR="00CC44C1" w14:paraId="4164A54A" w14:textId="77777777" w:rsidTr="003A4424">
        <w:tc>
          <w:tcPr>
            <w:tcW w:w="1890" w:type="dxa"/>
            <w:tcBorders>
              <w:right w:val="nil"/>
            </w:tcBorders>
            <w:shd w:val="clear" w:color="auto" w:fill="D9D9D9" w:themeFill="background1" w:themeFillShade="D9"/>
            <w:vAlign w:val="center"/>
          </w:tcPr>
          <w:p w14:paraId="2CEF16B0" w14:textId="309D81BD" w:rsidR="00CC44C1" w:rsidRPr="00CC44C1" w:rsidRDefault="00CC44C1" w:rsidP="00FC7802">
            <w:pPr>
              <w:rPr>
                <w:b/>
              </w:rPr>
            </w:pPr>
            <w:r w:rsidRPr="00CC44C1">
              <w:rPr>
                <w:b/>
              </w:rPr>
              <w:t xml:space="preserve">Max Points </w:t>
            </w:r>
          </w:p>
        </w:tc>
        <w:tc>
          <w:tcPr>
            <w:tcW w:w="2430" w:type="dxa"/>
            <w:tcBorders>
              <w:left w:val="nil"/>
              <w:right w:val="nil"/>
            </w:tcBorders>
            <w:shd w:val="clear" w:color="auto" w:fill="D9D9D9" w:themeFill="background1" w:themeFillShade="D9"/>
            <w:vAlign w:val="center"/>
          </w:tcPr>
          <w:p w14:paraId="6B4635D3" w14:textId="100239AC" w:rsidR="00CC44C1" w:rsidRPr="00CC44C1" w:rsidRDefault="00CC44C1" w:rsidP="00CC44C1">
            <w:pPr>
              <w:rPr>
                <w:b/>
              </w:rPr>
            </w:pPr>
            <w:r w:rsidRPr="00CC44C1">
              <w:rPr>
                <w:b/>
              </w:rPr>
              <w:t>Scoring Factor</w:t>
            </w:r>
          </w:p>
        </w:tc>
        <w:tc>
          <w:tcPr>
            <w:tcW w:w="5400" w:type="dxa"/>
            <w:tcBorders>
              <w:left w:val="nil"/>
            </w:tcBorders>
            <w:shd w:val="clear" w:color="auto" w:fill="D9D9D9" w:themeFill="background1" w:themeFillShade="D9"/>
            <w:vAlign w:val="center"/>
          </w:tcPr>
          <w:p w14:paraId="7F8BE253" w14:textId="5762A06F" w:rsidR="00CC44C1" w:rsidRPr="00CC44C1" w:rsidRDefault="00404523" w:rsidP="00CC44C1">
            <w:pPr>
              <w:rPr>
                <w:b/>
              </w:rPr>
            </w:pPr>
            <w:r>
              <w:rPr>
                <w:b/>
              </w:rPr>
              <w:t xml:space="preserve">HUD </w:t>
            </w:r>
            <w:r w:rsidR="00CC44C1" w:rsidRPr="00CC44C1">
              <w:rPr>
                <w:b/>
              </w:rPr>
              <w:t>Calculation</w:t>
            </w:r>
          </w:p>
        </w:tc>
      </w:tr>
      <w:tr w:rsidR="00CC44C1" w14:paraId="7069ACBD" w14:textId="77777777" w:rsidTr="00404523">
        <w:trPr>
          <w:trHeight w:val="543"/>
        </w:trPr>
        <w:tc>
          <w:tcPr>
            <w:tcW w:w="1890" w:type="dxa"/>
            <w:vAlign w:val="center"/>
          </w:tcPr>
          <w:p w14:paraId="4D25E970" w14:textId="6766BECD" w:rsidR="00CC44C1" w:rsidRDefault="00041E77" w:rsidP="00CC44C1">
            <w:r>
              <w:t xml:space="preserve">50 </w:t>
            </w:r>
            <w:r w:rsidR="00CC44C1">
              <w:t>Points</w:t>
            </w:r>
          </w:p>
        </w:tc>
        <w:tc>
          <w:tcPr>
            <w:tcW w:w="2430" w:type="dxa"/>
            <w:vAlign w:val="center"/>
          </w:tcPr>
          <w:p w14:paraId="42795A8F" w14:textId="04A03AE0" w:rsidR="00CC44C1" w:rsidRDefault="00CC44C1" w:rsidP="00CC44C1">
            <w:r>
              <w:t>CoC Application Score</w:t>
            </w:r>
          </w:p>
        </w:tc>
        <w:tc>
          <w:tcPr>
            <w:tcW w:w="5400" w:type="dxa"/>
            <w:vAlign w:val="center"/>
          </w:tcPr>
          <w:p w14:paraId="4493F6DE" w14:textId="6952F088" w:rsidR="00257ECD" w:rsidRDefault="00257ECD" w:rsidP="00404523">
            <w:pPr>
              <w:jc w:val="center"/>
            </w:pPr>
            <w:r>
              <w:t xml:space="preserve">(% of available points received on CoC application) </w:t>
            </w:r>
            <w:r w:rsidR="00404523">
              <w:t>*</w:t>
            </w:r>
            <w:r>
              <w:t xml:space="preserve"> 50</w:t>
            </w:r>
          </w:p>
        </w:tc>
      </w:tr>
      <w:tr w:rsidR="00CC44C1" w14:paraId="5DE8BBB9" w14:textId="77777777" w:rsidTr="003A4424">
        <w:trPr>
          <w:trHeight w:val="350"/>
        </w:trPr>
        <w:tc>
          <w:tcPr>
            <w:tcW w:w="1890" w:type="dxa"/>
            <w:vAlign w:val="center"/>
          </w:tcPr>
          <w:p w14:paraId="7F72AD3B" w14:textId="19B47F03" w:rsidR="00CC44C1" w:rsidRDefault="00A11884" w:rsidP="00041E77">
            <w:r>
              <w:t>40</w:t>
            </w:r>
            <w:r w:rsidR="00041E77">
              <w:t xml:space="preserve"> </w:t>
            </w:r>
            <w:r w:rsidR="00CC44C1">
              <w:t>Points</w:t>
            </w:r>
          </w:p>
        </w:tc>
        <w:tc>
          <w:tcPr>
            <w:tcW w:w="2430" w:type="dxa"/>
            <w:vAlign w:val="center"/>
          </w:tcPr>
          <w:p w14:paraId="6D6C9AD4" w14:textId="74FA72C9" w:rsidR="00CC44C1" w:rsidRDefault="00CC44C1" w:rsidP="00CC44C1">
            <w:r>
              <w:t>Ranking Order</w:t>
            </w:r>
          </w:p>
        </w:tc>
        <w:tc>
          <w:tcPr>
            <w:tcW w:w="5400" w:type="dxa"/>
            <w:vAlign w:val="center"/>
          </w:tcPr>
          <w:p w14:paraId="47F32735" w14:textId="77777777" w:rsidR="00404523" w:rsidRDefault="00404523" w:rsidP="00404523">
            <w:pPr>
              <w:jc w:val="center"/>
              <w:rPr>
                <w:b/>
              </w:rPr>
            </w:pPr>
          </w:p>
          <w:p w14:paraId="60DDAC40" w14:textId="18097FDA" w:rsidR="00404523" w:rsidRPr="00404523" w:rsidRDefault="00404523" w:rsidP="00404523">
            <w:pPr>
              <w:jc w:val="center"/>
              <w:rPr>
                <w:b/>
              </w:rPr>
            </w:pPr>
            <w:r w:rsidRPr="00404523">
              <w:rPr>
                <w:b/>
              </w:rPr>
              <w:t xml:space="preserve">Total Points = </w:t>
            </w:r>
            <w:r w:rsidR="00A11884">
              <w:rPr>
                <w:b/>
              </w:rPr>
              <w:t>40</w:t>
            </w:r>
            <w:r w:rsidRPr="00404523">
              <w:rPr>
                <w:b/>
              </w:rPr>
              <w:t xml:space="preserve"> * (1-</w:t>
            </w:r>
            <w:r w:rsidR="00035337">
              <w:rPr>
                <w:b/>
              </w:rPr>
              <w:t>x</w:t>
            </w:r>
            <w:r w:rsidRPr="00404523">
              <w:rPr>
                <w:b/>
              </w:rPr>
              <w:t>)</w:t>
            </w:r>
          </w:p>
          <w:p w14:paraId="7FC4CA7C" w14:textId="77777777" w:rsidR="00404523" w:rsidRDefault="00404523" w:rsidP="00404523">
            <w:pPr>
              <w:jc w:val="center"/>
            </w:pPr>
          </w:p>
          <w:p w14:paraId="6A434BA5" w14:textId="7C5EF8DF" w:rsidR="00404523" w:rsidRPr="00404523" w:rsidRDefault="00404523" w:rsidP="00404523">
            <w:pPr>
              <w:jc w:val="center"/>
              <w:rPr>
                <w:i/>
              </w:rPr>
            </w:pPr>
            <w:r w:rsidRPr="00404523">
              <w:rPr>
                <w:i/>
              </w:rPr>
              <w:t>Where “</w:t>
            </w:r>
            <w:r w:rsidR="00035337">
              <w:rPr>
                <w:i/>
              </w:rPr>
              <w:t>x</w:t>
            </w:r>
            <w:r w:rsidRPr="00404523">
              <w:rPr>
                <w:i/>
              </w:rPr>
              <w:t>” equals:</w:t>
            </w:r>
          </w:p>
          <w:p w14:paraId="3B8CC51E" w14:textId="77777777" w:rsidR="00404523" w:rsidRDefault="00404523" w:rsidP="00404523">
            <w:pPr>
              <w:jc w:val="center"/>
            </w:pPr>
          </w:p>
          <w:p w14:paraId="59031DD0" w14:textId="22F56421" w:rsidR="00404523" w:rsidRDefault="00404523" w:rsidP="007C1E3B">
            <w:pPr>
              <w:contextualSpacing/>
              <w:jc w:val="center"/>
            </w:pPr>
            <w:r>
              <w:t>(</w:t>
            </w:r>
            <w:r w:rsidR="00035337">
              <w:t xml:space="preserve">the ratio of the </w:t>
            </w:r>
            <w:r>
              <w:t>cumulative funding for Tier 2 ranked higher than project)</w:t>
            </w:r>
          </w:p>
          <w:p w14:paraId="1B6E2AE8" w14:textId="68AB378B" w:rsidR="00404523" w:rsidRDefault="00404523" w:rsidP="007C1E3B">
            <w:pPr>
              <w:contextualSpacing/>
              <w:jc w:val="center"/>
            </w:pPr>
            <w:r>
              <w:t>+</w:t>
            </w:r>
          </w:p>
          <w:p w14:paraId="4CE21468" w14:textId="77777777" w:rsidR="007C1E3B" w:rsidRDefault="00404523" w:rsidP="007C1E3B">
            <w:pPr>
              <w:contextualSpacing/>
              <w:jc w:val="center"/>
            </w:pPr>
            <w:r>
              <w:t>(1/2 * project’s funding request)</w:t>
            </w:r>
          </w:p>
          <w:p w14:paraId="49FE25BC" w14:textId="1835B8F1" w:rsidR="00404523" w:rsidRDefault="00404523" w:rsidP="007C1E3B">
            <w:pPr>
              <w:contextualSpacing/>
              <w:jc w:val="center"/>
            </w:pPr>
            <w:r>
              <w:t>_______________________________________________</w:t>
            </w:r>
          </w:p>
          <w:p w14:paraId="4B2430F5" w14:textId="77777777" w:rsidR="00404523" w:rsidRPr="00404523" w:rsidRDefault="00404523" w:rsidP="007C1E3B">
            <w:pPr>
              <w:contextualSpacing/>
              <w:jc w:val="center"/>
              <w:rPr>
                <w:sz w:val="14"/>
              </w:rPr>
            </w:pPr>
          </w:p>
          <w:p w14:paraId="12947750" w14:textId="77777777" w:rsidR="0097627D" w:rsidRDefault="00404523" w:rsidP="007C1E3B">
            <w:pPr>
              <w:contextualSpacing/>
              <w:jc w:val="center"/>
            </w:pPr>
            <w:r>
              <w:t>Total Tier 2 Funding Available</w:t>
            </w:r>
          </w:p>
          <w:p w14:paraId="64B1EAA3" w14:textId="77777777" w:rsidR="005275EB" w:rsidRDefault="005275EB" w:rsidP="007C1E3B">
            <w:pPr>
              <w:contextualSpacing/>
              <w:jc w:val="center"/>
            </w:pPr>
          </w:p>
          <w:p w14:paraId="421007F0" w14:textId="77777777" w:rsidR="005275EB" w:rsidRDefault="005275EB" w:rsidP="005275EB">
            <w:pPr>
              <w:pStyle w:val="Default"/>
            </w:pPr>
          </w:p>
          <w:tbl>
            <w:tblPr>
              <w:tblW w:w="0" w:type="auto"/>
              <w:tblBorders>
                <w:top w:val="nil"/>
                <w:left w:val="nil"/>
                <w:bottom w:val="nil"/>
                <w:right w:val="nil"/>
              </w:tblBorders>
              <w:tblLook w:val="0000" w:firstRow="0" w:lastRow="0" w:firstColumn="0" w:lastColumn="0" w:noHBand="0" w:noVBand="0"/>
            </w:tblPr>
            <w:tblGrid>
              <w:gridCol w:w="5184"/>
            </w:tblGrid>
            <w:tr w:rsidR="005275EB" w14:paraId="25BE9F2B" w14:textId="77777777">
              <w:trPr>
                <w:trHeight w:val="575"/>
              </w:trPr>
              <w:tc>
                <w:tcPr>
                  <w:tcW w:w="0" w:type="auto"/>
                </w:tcPr>
                <w:p w14:paraId="41DAF7A3" w14:textId="77777777" w:rsidR="005275EB" w:rsidRDefault="005275EB" w:rsidP="005275EB">
                  <w:pPr>
                    <w:pStyle w:val="Default"/>
                    <w:rPr>
                      <w:sz w:val="23"/>
                      <w:szCs w:val="23"/>
                    </w:rPr>
                  </w:pPr>
                  <w:r w:rsidRPr="005275EB">
                    <w:rPr>
                      <w:rFonts w:asciiTheme="minorHAnsi" w:hAnsiTheme="minorHAnsi" w:cstheme="minorBidi"/>
                      <w:color w:val="auto"/>
                      <w:sz w:val="22"/>
                      <w:szCs w:val="22"/>
                    </w:rPr>
                    <w:t>For example, if a CoC is eligible to apply for projects totaling $500,000 in Tier 2 and applies for 5 projects ranked in Tier 2 of $100,000 each: the highest ranked project would receive 36 points and then the subsequently ranked projects would receive 28, 20, 12, and 4 points.</w:t>
                  </w:r>
                  <w:r>
                    <w:rPr>
                      <w:sz w:val="23"/>
                      <w:szCs w:val="23"/>
                    </w:rPr>
                    <w:t xml:space="preserve"> </w:t>
                  </w:r>
                </w:p>
                <w:p w14:paraId="7C0D4FE3" w14:textId="77777777" w:rsidR="005275EB" w:rsidRDefault="005275EB" w:rsidP="005275EB">
                  <w:pPr>
                    <w:pStyle w:val="Default"/>
                    <w:rPr>
                      <w:sz w:val="23"/>
                      <w:szCs w:val="23"/>
                    </w:rPr>
                  </w:pPr>
                </w:p>
              </w:tc>
            </w:tr>
          </w:tbl>
          <w:p w14:paraId="7A7CB484" w14:textId="535F0DBD" w:rsidR="005275EB" w:rsidRDefault="005275EB" w:rsidP="007C1E3B">
            <w:pPr>
              <w:contextualSpacing/>
              <w:jc w:val="center"/>
            </w:pPr>
          </w:p>
        </w:tc>
      </w:tr>
      <w:tr w:rsidR="00CC44C1" w14:paraId="7711F92D" w14:textId="77777777" w:rsidTr="006E44D4">
        <w:trPr>
          <w:trHeight w:val="2604"/>
        </w:trPr>
        <w:tc>
          <w:tcPr>
            <w:tcW w:w="1890" w:type="dxa"/>
            <w:tcBorders>
              <w:bottom w:val="single" w:sz="4" w:space="0" w:color="auto"/>
            </w:tcBorders>
            <w:vAlign w:val="center"/>
          </w:tcPr>
          <w:p w14:paraId="2114B4A4" w14:textId="6BEA01DC" w:rsidR="00CC44C1" w:rsidRDefault="00CC44C1" w:rsidP="00CC44C1">
            <w:r>
              <w:t>10 Points</w:t>
            </w:r>
          </w:p>
        </w:tc>
        <w:tc>
          <w:tcPr>
            <w:tcW w:w="2430" w:type="dxa"/>
            <w:tcBorders>
              <w:bottom w:val="single" w:sz="4" w:space="0" w:color="auto"/>
            </w:tcBorders>
            <w:vAlign w:val="center"/>
          </w:tcPr>
          <w:p w14:paraId="3262B34C" w14:textId="6801BEDE" w:rsidR="00CC44C1" w:rsidRDefault="00041E77" w:rsidP="00035337">
            <w:r>
              <w:t xml:space="preserve">Commitment to </w:t>
            </w:r>
            <w:r w:rsidR="005275EB">
              <w:t>Housing First</w:t>
            </w:r>
            <w:r w:rsidR="00992C24">
              <w:t xml:space="preserve"> </w:t>
            </w:r>
            <w:r w:rsidR="00035337">
              <w:t>(as defined in Section III.B.2.o of the FY 2021 CoC Competition NOFA)</w:t>
            </w:r>
          </w:p>
        </w:tc>
        <w:tc>
          <w:tcPr>
            <w:tcW w:w="5400" w:type="dxa"/>
            <w:tcBorders>
              <w:bottom w:val="single" w:sz="4" w:space="0" w:color="auto"/>
            </w:tcBorders>
            <w:vAlign w:val="center"/>
          </w:tcPr>
          <w:p w14:paraId="5213AEFF" w14:textId="417C5341" w:rsidR="00041E77" w:rsidRDefault="00041E77" w:rsidP="00CC44C1">
            <w:r>
              <w:t xml:space="preserve">Up to </w:t>
            </w:r>
            <w:r w:rsidR="00CC44C1">
              <w:t xml:space="preserve">10 Points: </w:t>
            </w:r>
            <w:r w:rsidR="009C66F5">
              <w:t xml:space="preserve">PH </w:t>
            </w:r>
            <w:r w:rsidR="00035337">
              <w:t xml:space="preserve">(PSH and RRH) </w:t>
            </w:r>
            <w:r w:rsidR="009C66F5">
              <w:t>projects that apply Housing First and demonstrate</w:t>
            </w:r>
            <w:r w:rsidR="004F71FE">
              <w:t xml:space="preserve"> that it is low barrier and prioritizes rapid placement and stabilization</w:t>
            </w:r>
            <w:r w:rsidR="00035337">
              <w:t xml:space="preserve"> in permanent housing that does not have service participation requirements or preconditions (such as sobriety or a minimum income threshold).</w:t>
            </w:r>
          </w:p>
          <w:p w14:paraId="4E4CC449" w14:textId="49AB2CB8" w:rsidR="00041E77" w:rsidRDefault="00041E77" w:rsidP="00CC44C1">
            <w:r>
              <w:t>Up to 10 Points: TH</w:t>
            </w:r>
            <w:r w:rsidR="007700FD">
              <w:t xml:space="preserve"> and </w:t>
            </w:r>
            <w:r w:rsidR="00F33856">
              <w:t>SSO</w:t>
            </w:r>
            <w:r>
              <w:t xml:space="preserve"> projects demonstrating low-barrier</w:t>
            </w:r>
            <w:r w:rsidR="006E44D4">
              <w:t xml:space="preserve"> policies</w:t>
            </w:r>
            <w:r>
              <w:t xml:space="preserve">, </w:t>
            </w:r>
            <w:r w:rsidR="006E44D4">
              <w:t xml:space="preserve">prioritize </w:t>
            </w:r>
            <w:r>
              <w:t>rapid and stable PH placements</w:t>
            </w:r>
            <w:r w:rsidR="00904737">
              <w:t>, have</w:t>
            </w:r>
            <w:r w:rsidR="006E44D4">
              <w:t xml:space="preserve"> no service participation requirements or preconditions to entry</w:t>
            </w:r>
            <w:r w:rsidR="00035337">
              <w:t xml:space="preserve">, and do not require preconditions </w:t>
            </w:r>
            <w:r w:rsidR="00035337">
              <w:lastRenderedPageBreak/>
              <w:t>for moving into the transitional housing (e.g., sobriety or minimum income threshold).</w:t>
            </w:r>
          </w:p>
          <w:p w14:paraId="0F853B89" w14:textId="2CE8B2AD" w:rsidR="00035337" w:rsidRDefault="00041E77" w:rsidP="006E44D4">
            <w:r>
              <w:t>10 Points:   HMIS &amp; SSO projects for coordinated assessment system</w:t>
            </w:r>
            <w:r w:rsidR="00F33856">
              <w:t xml:space="preserve"> will automatically receive points.</w:t>
            </w:r>
            <w:r>
              <w:t xml:space="preserve"> </w:t>
            </w:r>
          </w:p>
        </w:tc>
      </w:tr>
      <w:tr w:rsidR="00CC44C1" w:rsidRPr="00CC44C1" w14:paraId="03813632" w14:textId="77777777" w:rsidTr="003A4424">
        <w:trPr>
          <w:trHeight w:val="413"/>
        </w:trPr>
        <w:tc>
          <w:tcPr>
            <w:tcW w:w="1890" w:type="dxa"/>
            <w:tcBorders>
              <w:right w:val="nil"/>
            </w:tcBorders>
            <w:shd w:val="clear" w:color="auto" w:fill="D9D9D9" w:themeFill="background1" w:themeFillShade="D9"/>
            <w:vAlign w:val="center"/>
          </w:tcPr>
          <w:p w14:paraId="079121B9" w14:textId="582D4B45" w:rsidR="00CC44C1" w:rsidRPr="00CC44C1" w:rsidRDefault="00CC44C1" w:rsidP="00CC44C1">
            <w:pPr>
              <w:rPr>
                <w:b/>
              </w:rPr>
            </w:pPr>
            <w:r w:rsidRPr="00CC44C1">
              <w:rPr>
                <w:b/>
              </w:rPr>
              <w:lastRenderedPageBreak/>
              <w:t>100</w:t>
            </w:r>
          </w:p>
        </w:tc>
        <w:tc>
          <w:tcPr>
            <w:tcW w:w="2430" w:type="dxa"/>
            <w:tcBorders>
              <w:left w:val="nil"/>
              <w:right w:val="nil"/>
            </w:tcBorders>
            <w:shd w:val="clear" w:color="auto" w:fill="D9D9D9" w:themeFill="background1" w:themeFillShade="D9"/>
            <w:vAlign w:val="center"/>
          </w:tcPr>
          <w:p w14:paraId="65C758BF" w14:textId="75D68757" w:rsidR="00CC44C1" w:rsidRPr="00CC44C1" w:rsidRDefault="00CC44C1" w:rsidP="00CC44C1">
            <w:pPr>
              <w:rPr>
                <w:b/>
              </w:rPr>
            </w:pPr>
            <w:r w:rsidRPr="00CC44C1">
              <w:rPr>
                <w:b/>
              </w:rPr>
              <w:t>Total Points Available</w:t>
            </w:r>
          </w:p>
        </w:tc>
        <w:tc>
          <w:tcPr>
            <w:tcW w:w="5400" w:type="dxa"/>
            <w:tcBorders>
              <w:left w:val="nil"/>
            </w:tcBorders>
            <w:shd w:val="clear" w:color="auto" w:fill="D9D9D9" w:themeFill="background1" w:themeFillShade="D9"/>
            <w:vAlign w:val="center"/>
          </w:tcPr>
          <w:p w14:paraId="2BA48D7A" w14:textId="77777777" w:rsidR="00CC44C1" w:rsidRPr="00CC44C1" w:rsidRDefault="00CC44C1" w:rsidP="00CC44C1">
            <w:pPr>
              <w:rPr>
                <w:b/>
              </w:rPr>
            </w:pPr>
          </w:p>
        </w:tc>
      </w:tr>
    </w:tbl>
    <w:p w14:paraId="74146356" w14:textId="77777777" w:rsidR="00CC44C1" w:rsidRDefault="00CC44C1" w:rsidP="00944000">
      <w:pPr>
        <w:spacing w:after="0" w:line="240" w:lineRule="auto"/>
      </w:pPr>
    </w:p>
    <w:p w14:paraId="38D91E75" w14:textId="77777777" w:rsidR="00A53102" w:rsidRDefault="00A53102" w:rsidP="00FC7802">
      <w:pPr>
        <w:rPr>
          <w:b/>
          <w:sz w:val="24"/>
        </w:rPr>
      </w:pPr>
    </w:p>
    <w:p w14:paraId="65C921D4" w14:textId="77777777" w:rsidR="00A53102" w:rsidRDefault="00A53102" w:rsidP="00FC7802">
      <w:pPr>
        <w:rPr>
          <w:b/>
          <w:sz w:val="24"/>
        </w:rPr>
      </w:pPr>
    </w:p>
    <w:p w14:paraId="4DCB82B3" w14:textId="0D829635" w:rsidR="008D69AB" w:rsidRDefault="00733CAA" w:rsidP="00FC7802">
      <w:pPr>
        <w:rPr>
          <w:b/>
          <w:sz w:val="24"/>
        </w:rPr>
      </w:pPr>
      <w:r>
        <w:rPr>
          <w:b/>
          <w:sz w:val="24"/>
        </w:rPr>
        <w:t>DV Bonus Project Scoring</w:t>
      </w:r>
    </w:p>
    <w:p w14:paraId="267E4FFD" w14:textId="2808C9B1" w:rsidR="00733CAA" w:rsidRDefault="00733CAA" w:rsidP="00733CAA">
      <w:pPr>
        <w:spacing w:line="240" w:lineRule="auto"/>
      </w:pPr>
      <w:r w:rsidRPr="00733CAA">
        <w:t>For projects the CoC indicates it would like considered as part of the DV</w:t>
      </w:r>
      <w:r>
        <w:t xml:space="preserve"> </w:t>
      </w:r>
      <w:r w:rsidRPr="00733CAA">
        <w:t>Bonus, HUD will award a point value to each project application combining both the</w:t>
      </w:r>
      <w:r>
        <w:t xml:space="preserve"> </w:t>
      </w:r>
      <w:r w:rsidRPr="00733CAA">
        <w:t>CoC Application score and responses to the domestic violence bonus specific</w:t>
      </w:r>
      <w:r>
        <w:t xml:space="preserve"> questions in the CoC Application using the following 100-point scale:</w:t>
      </w:r>
    </w:p>
    <w:p w14:paraId="7D43DAE2" w14:textId="77777777" w:rsidR="00733CAA" w:rsidRDefault="00733CAA" w:rsidP="00A87A42">
      <w:pPr>
        <w:pStyle w:val="ListParagraph"/>
        <w:numPr>
          <w:ilvl w:val="0"/>
          <w:numId w:val="14"/>
        </w:numPr>
        <w:spacing w:line="240" w:lineRule="auto"/>
      </w:pPr>
      <w:r>
        <w:t>For Rapid Re-housing and Joint TH and PH-RRH component projects:</w:t>
      </w:r>
    </w:p>
    <w:p w14:paraId="4DC84C6E" w14:textId="1A58544A" w:rsidR="00733CAA" w:rsidRDefault="00733CAA" w:rsidP="00A87A42">
      <w:pPr>
        <w:pStyle w:val="ListParagraph"/>
        <w:numPr>
          <w:ilvl w:val="1"/>
          <w:numId w:val="14"/>
        </w:numPr>
        <w:spacing w:line="240" w:lineRule="auto"/>
      </w:pPr>
      <w:r>
        <w:t xml:space="preserve">CoC Score. Up to </w:t>
      </w:r>
      <w:r w:rsidR="00F33856">
        <w:t>50</w:t>
      </w:r>
      <w:r w:rsidR="004F71FE">
        <w:t xml:space="preserve"> </w:t>
      </w:r>
      <w:r>
        <w:t>points in direct proportion to the score received on the CoC Application.</w:t>
      </w:r>
    </w:p>
    <w:p w14:paraId="78EF295E" w14:textId="26E42404" w:rsidR="00733CAA" w:rsidRDefault="00733CAA" w:rsidP="00A87A42">
      <w:pPr>
        <w:pStyle w:val="ListParagraph"/>
        <w:numPr>
          <w:ilvl w:val="1"/>
          <w:numId w:val="14"/>
        </w:numPr>
        <w:spacing w:line="240" w:lineRule="auto"/>
      </w:pPr>
      <w:r>
        <w:t>Need for the Project. Up to 25 points based on the extent the CoC quantif</w:t>
      </w:r>
      <w:r w:rsidR="004F71FE">
        <w:t>ies</w:t>
      </w:r>
      <w:r>
        <w:t xml:space="preserve"> the need for the project in its portfolio, the extent of the need, and how the project will fill that gap.</w:t>
      </w:r>
    </w:p>
    <w:p w14:paraId="5A2CA23F" w14:textId="514C250F" w:rsidR="00733CAA" w:rsidRDefault="00733CAA" w:rsidP="00A87A42">
      <w:pPr>
        <w:pStyle w:val="ListParagraph"/>
        <w:numPr>
          <w:ilvl w:val="1"/>
          <w:numId w:val="14"/>
        </w:numPr>
        <w:spacing w:line="240" w:lineRule="auto"/>
      </w:pPr>
      <w:r>
        <w:t xml:space="preserve">Quality of the Project Applicant. Up to </w:t>
      </w:r>
      <w:r w:rsidR="00F33856">
        <w:t>2</w:t>
      </w:r>
      <w:r w:rsidR="004F71FE">
        <w:t>5</w:t>
      </w:r>
      <w:r>
        <w:t xml:space="preserve"> points based on the previous performance of the applicant in serving survivors of domestic violence, dating violence, sexual assault, or stalking, and their ability to house survivors and meet safety outcomes.</w:t>
      </w:r>
      <w:r w:rsidR="004F71FE">
        <w:t xml:space="preserve"> Additionally, to be eligible to receive a PH-RRH or Joint TH an</w:t>
      </w:r>
      <w:r w:rsidR="006940EE">
        <w:t>d</w:t>
      </w:r>
      <w:r w:rsidR="004F71FE">
        <w:t xml:space="preserve"> PH-RRH project, the CoC must demonstrate that the project </w:t>
      </w:r>
      <w:r w:rsidR="004F71FE">
        <w:lastRenderedPageBreak/>
        <w:t>will use trauma-informed, victim –centered approaches</w:t>
      </w:r>
      <w:r w:rsidR="00F33856">
        <w:t xml:space="preserve"> that follow housing first. </w:t>
      </w:r>
      <w:r>
        <w:br/>
      </w:r>
    </w:p>
    <w:p w14:paraId="06BC03A7" w14:textId="619CD1F9" w:rsidR="00733CAA" w:rsidRDefault="00733CAA" w:rsidP="00A87A42">
      <w:pPr>
        <w:pStyle w:val="ListParagraph"/>
        <w:numPr>
          <w:ilvl w:val="0"/>
          <w:numId w:val="14"/>
        </w:numPr>
        <w:spacing w:line="240" w:lineRule="auto"/>
      </w:pPr>
      <w:r>
        <w:t>For SSO Projects for Coordinated Entry</w:t>
      </w:r>
      <w:r w:rsidR="00B7696B">
        <w:t xml:space="preserve"> (SSO-CE)</w:t>
      </w:r>
      <w:r>
        <w:t>:</w:t>
      </w:r>
    </w:p>
    <w:p w14:paraId="1FC1CFA6" w14:textId="77777777" w:rsidR="00733CAA" w:rsidRDefault="00733CAA" w:rsidP="00A87A42">
      <w:pPr>
        <w:pStyle w:val="ListParagraph"/>
        <w:numPr>
          <w:ilvl w:val="1"/>
          <w:numId w:val="14"/>
        </w:numPr>
        <w:spacing w:line="240" w:lineRule="auto"/>
      </w:pPr>
      <w:r>
        <w:t>CoC Score. Up to 50 points in direct proportion to the score received on the CoC Application.</w:t>
      </w:r>
    </w:p>
    <w:p w14:paraId="46F0B18E" w14:textId="13A8131B" w:rsidR="00F33856" w:rsidRDefault="00733CAA" w:rsidP="00F33856">
      <w:pPr>
        <w:pStyle w:val="ListParagraph"/>
        <w:numPr>
          <w:ilvl w:val="1"/>
          <w:numId w:val="14"/>
        </w:numPr>
        <w:spacing w:line="240" w:lineRule="auto"/>
      </w:pPr>
      <w:r>
        <w:t>Need for the Project. Up to 50 points based on the extent to which the CoC is able to demonstrate the need for a coordinated entry system that better meets the needs of survivors of domestic violence, dating violence, sexual assault, or stalking, and how the project will fill this need.</w:t>
      </w:r>
    </w:p>
    <w:p w14:paraId="2D92D96D" w14:textId="325CB5C6" w:rsidR="00B7696B" w:rsidRDefault="009C0AEC" w:rsidP="007055CE">
      <w:pPr>
        <w:spacing w:line="240" w:lineRule="auto"/>
      </w:pPr>
      <w:r>
        <w:t>Only</w:t>
      </w:r>
      <w:r w:rsidR="00F1724C">
        <w:t xml:space="preserve"> one SSO-CE </w:t>
      </w:r>
      <w:r w:rsidR="00B7696B">
        <w:t xml:space="preserve">project can be submitted per CoC; however there is no limit on the number of PH-RRH and Joint TH and PH-RRH projects provided that each application is for at least $50,000. A project applicant may also apply to expand an existing renewal project, including one that was previously awarded with DV Bonus funding, in accordance with Section III.B.2.k of the FY 2021 CoC NOFO, however, only the new project application for the expansion will be considered for DV Bonus funds through this process. </w:t>
      </w:r>
    </w:p>
    <w:p w14:paraId="703CF2B8" w14:textId="5A756CE0" w:rsidR="00F33856" w:rsidRPr="00733CAA" w:rsidRDefault="00B7696B" w:rsidP="007055CE">
      <w:pPr>
        <w:spacing w:line="240" w:lineRule="auto"/>
      </w:pPr>
      <w:r>
        <w:t xml:space="preserve">DV Bonus funding may be used to expand an existing renewal project that is not dedicated to serving survivors of domestic violence, dating violence, sexual assault, or stalking who meet the definition of homeless in paragraph (4) of 24 CFR 578.3 so long as the DV Bonus funds for expansion are solely for additional units, beds, or services dedicated to persons eligible to be served with DV Bonus funding. </w:t>
      </w:r>
    </w:p>
    <w:p w14:paraId="321F018E" w14:textId="77777777" w:rsidR="007055CE" w:rsidRDefault="00F56D76" w:rsidP="007055CE">
      <w:pPr>
        <w:rPr>
          <w:b/>
          <w:sz w:val="24"/>
        </w:rPr>
      </w:pPr>
      <w:r w:rsidRPr="007055CE">
        <w:rPr>
          <w:b/>
          <w:sz w:val="24"/>
        </w:rPr>
        <w:t>HU</w:t>
      </w:r>
      <w:bookmarkStart w:id="7" w:name="policy"/>
      <w:bookmarkEnd w:id="7"/>
      <w:r w:rsidRPr="007055CE">
        <w:rPr>
          <w:b/>
          <w:sz w:val="24"/>
        </w:rPr>
        <w:t>D POLICY PRIORITIES</w:t>
      </w:r>
      <w:r w:rsidR="00CC44C1" w:rsidRPr="007055CE">
        <w:rPr>
          <w:b/>
          <w:sz w:val="24"/>
        </w:rPr>
        <w:t xml:space="preserve"> </w:t>
      </w:r>
    </w:p>
    <w:p w14:paraId="3C475D08" w14:textId="1052EC2C" w:rsidR="00B7696B" w:rsidRPr="007055CE" w:rsidRDefault="00B7696B" w:rsidP="007055CE">
      <w:pPr>
        <w:pStyle w:val="ListParagraph"/>
        <w:numPr>
          <w:ilvl w:val="0"/>
          <w:numId w:val="17"/>
        </w:numPr>
        <w:rPr>
          <w:b/>
        </w:rPr>
      </w:pPr>
      <w:r w:rsidRPr="007055CE">
        <w:rPr>
          <w:b/>
        </w:rPr>
        <w:t>Ending homelessness for all persons</w:t>
      </w:r>
      <w:r>
        <w:t xml:space="preserve">. To end homelessness, CoCs should identify, engage, and effectively serve all persons experiencing homelessness. CoCs should measure their performance based on local data that consider the challenges faced </w:t>
      </w:r>
      <w:r>
        <w:lastRenderedPageBreak/>
        <w:t>by all subpopulations experiencing homelessness in the geographic area (e.g., veterans, youth, families, or those experiencing chronic homelessness). CoCs should partner with housing, health care, and supportive services providers to expand housing options, such as permanent supportive housing, housing subsidies, and rapid rehousing. Additionally, CoCs should use local data to determine the characteristics of individuals and families with the highest needs and longest experiences of homelessness to develop housing and supportive services tailored to their needs.</w:t>
      </w:r>
    </w:p>
    <w:p w14:paraId="4CF7FCFC" w14:textId="77777777" w:rsidR="00B7696B" w:rsidRPr="007055CE" w:rsidRDefault="00B7696B" w:rsidP="007055CE">
      <w:pPr>
        <w:pStyle w:val="ListParagraph"/>
        <w:rPr>
          <w:b/>
        </w:rPr>
      </w:pPr>
    </w:p>
    <w:p w14:paraId="07883BFB" w14:textId="03685C1D" w:rsidR="00B7696B" w:rsidRPr="007055CE" w:rsidRDefault="00B7696B" w:rsidP="007055CE">
      <w:pPr>
        <w:pStyle w:val="ListParagraph"/>
        <w:numPr>
          <w:ilvl w:val="0"/>
          <w:numId w:val="17"/>
        </w:numPr>
        <w:rPr>
          <w:b/>
        </w:rPr>
      </w:pPr>
      <w:r w:rsidRPr="007055CE">
        <w:rPr>
          <w:b/>
        </w:rPr>
        <w:t>Use a Housing First approach.</w:t>
      </w:r>
      <w:r>
        <w:t xml:space="preserve"> Housing First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 to identify an inventory of housing available for rapid rehousing and permanent supportive housing participants, remove barriers to entry, and adopt client-centered service methods. HUD encourages CoCs to assess how well Housing First approaches are being implemented in their communities.</w:t>
      </w:r>
    </w:p>
    <w:p w14:paraId="04D28616" w14:textId="77777777" w:rsidR="00B7696B" w:rsidRPr="007055CE" w:rsidRDefault="00B7696B" w:rsidP="007055CE">
      <w:pPr>
        <w:pStyle w:val="ListParagraph"/>
        <w:rPr>
          <w:b/>
        </w:rPr>
      </w:pPr>
    </w:p>
    <w:p w14:paraId="1A5A5E01" w14:textId="77777777" w:rsidR="00B7696B" w:rsidRDefault="00B7696B" w:rsidP="007055CE">
      <w:pPr>
        <w:pStyle w:val="ListParagraph"/>
        <w:widowControl w:val="0"/>
        <w:numPr>
          <w:ilvl w:val="1"/>
          <w:numId w:val="17"/>
        </w:numPr>
        <w:tabs>
          <w:tab w:val="left" w:pos="1522"/>
        </w:tabs>
        <w:spacing w:before="185" w:after="0" w:line="240" w:lineRule="auto"/>
        <w:ind w:right="175"/>
        <w:contextualSpacing w:val="0"/>
      </w:pPr>
      <w:r w:rsidRPr="00F56D76">
        <w:rPr>
          <w:i/>
        </w:rPr>
        <w:t>Remov</w:t>
      </w:r>
      <w:r>
        <w:rPr>
          <w:i/>
        </w:rPr>
        <w:t>e b</w:t>
      </w:r>
      <w:r w:rsidRPr="00F56D76">
        <w:rPr>
          <w:i/>
        </w:rPr>
        <w:t xml:space="preserve">arriers to </w:t>
      </w:r>
      <w:r>
        <w:rPr>
          <w:i/>
        </w:rPr>
        <w:t>e</w:t>
      </w:r>
      <w:r w:rsidRPr="00F56D76">
        <w:rPr>
          <w:i/>
        </w:rPr>
        <w:t xml:space="preserve">ntry. </w:t>
      </w:r>
      <w:r w:rsidRPr="00E806D3">
        <w:t xml:space="preserve">CoCs </w:t>
      </w:r>
      <w:r w:rsidRPr="00F56D76">
        <w:rPr>
          <w:spacing w:val="-3"/>
        </w:rPr>
        <w:t xml:space="preserve">should </w:t>
      </w:r>
      <w:r w:rsidRPr="00E806D3">
        <w:t>review system- and project-level eligibility</w:t>
      </w:r>
      <w:r w:rsidRPr="00F56D76">
        <w:rPr>
          <w:spacing w:val="-12"/>
        </w:rPr>
        <w:t xml:space="preserve"> </w:t>
      </w:r>
      <w:r w:rsidRPr="00E806D3">
        <w:t>criteria</w:t>
      </w:r>
      <w:r w:rsidRPr="00F56D76">
        <w:rPr>
          <w:spacing w:val="-4"/>
        </w:rPr>
        <w:t xml:space="preserve"> </w:t>
      </w:r>
      <w:r w:rsidRPr="00F56D76">
        <w:rPr>
          <w:spacing w:val="2"/>
        </w:rPr>
        <w:t>to</w:t>
      </w:r>
      <w:r w:rsidRPr="00F56D76">
        <w:rPr>
          <w:spacing w:val="-3"/>
        </w:rPr>
        <w:t xml:space="preserve"> </w:t>
      </w:r>
      <w:r w:rsidRPr="00E806D3">
        <w:t>identify</w:t>
      </w:r>
      <w:r w:rsidRPr="00F56D76">
        <w:rPr>
          <w:spacing w:val="-12"/>
        </w:rPr>
        <w:t xml:space="preserve"> </w:t>
      </w:r>
      <w:r w:rsidRPr="00E806D3">
        <w:t>and</w:t>
      </w:r>
      <w:r w:rsidRPr="00F56D76">
        <w:rPr>
          <w:spacing w:val="-3"/>
        </w:rPr>
        <w:t xml:space="preserve"> </w:t>
      </w:r>
      <w:r w:rsidRPr="00E806D3">
        <w:t>remove</w:t>
      </w:r>
      <w:r w:rsidRPr="00F56D76">
        <w:rPr>
          <w:spacing w:val="-4"/>
        </w:rPr>
        <w:t xml:space="preserve"> </w:t>
      </w:r>
      <w:r w:rsidRPr="00E806D3">
        <w:t>barriers</w:t>
      </w:r>
      <w:r w:rsidRPr="00F56D76">
        <w:rPr>
          <w:spacing w:val="-5"/>
        </w:rPr>
        <w:t xml:space="preserve"> </w:t>
      </w:r>
      <w:r w:rsidRPr="00E806D3">
        <w:t>to</w:t>
      </w:r>
      <w:r w:rsidRPr="00F56D76">
        <w:rPr>
          <w:spacing w:val="-3"/>
        </w:rPr>
        <w:t xml:space="preserve"> </w:t>
      </w:r>
      <w:r w:rsidRPr="00E806D3">
        <w:t>accessing</w:t>
      </w:r>
      <w:r w:rsidRPr="00F56D76">
        <w:rPr>
          <w:spacing w:val="-3"/>
        </w:rPr>
        <w:t xml:space="preserve"> </w:t>
      </w:r>
      <w:r w:rsidRPr="00E806D3">
        <w:t>services</w:t>
      </w:r>
      <w:r w:rsidRPr="00F56D76">
        <w:rPr>
          <w:spacing w:val="-5"/>
        </w:rPr>
        <w:t xml:space="preserve"> </w:t>
      </w:r>
      <w:r w:rsidRPr="00E806D3">
        <w:t>and</w:t>
      </w:r>
      <w:r>
        <w:t xml:space="preserve"> </w:t>
      </w:r>
      <w:r w:rsidRPr="00E806D3">
        <w:t>housing that are experienced by homeless individuals and families. Many projects currently have barriers to entry.</w:t>
      </w:r>
    </w:p>
    <w:p w14:paraId="17D51A84" w14:textId="77777777" w:rsidR="00B7696B" w:rsidRPr="00682322" w:rsidRDefault="00B7696B" w:rsidP="007055CE">
      <w:pPr>
        <w:pStyle w:val="ListParagraph"/>
        <w:widowControl w:val="0"/>
        <w:numPr>
          <w:ilvl w:val="1"/>
          <w:numId w:val="17"/>
        </w:numPr>
        <w:tabs>
          <w:tab w:val="left" w:pos="1522"/>
        </w:tabs>
        <w:spacing w:before="185" w:after="0" w:line="240" w:lineRule="auto"/>
        <w:ind w:right="175"/>
        <w:contextualSpacing w:val="0"/>
        <w:rPr>
          <w:i/>
        </w:rPr>
      </w:pPr>
      <w:r w:rsidRPr="00682322">
        <w:rPr>
          <w:i/>
        </w:rPr>
        <w:t xml:space="preserve">Use </w:t>
      </w:r>
      <w:r>
        <w:rPr>
          <w:i/>
        </w:rPr>
        <w:t>d</w:t>
      </w:r>
      <w:r w:rsidRPr="00682322">
        <w:rPr>
          <w:i/>
        </w:rPr>
        <w:t xml:space="preserve">ata to quickly and stably house homeless persons. </w:t>
      </w:r>
      <w:r>
        <w:t xml:space="preserve">Programs using a Housing First approach should move families and individuals into permanent housing quickly. To improve performance CoCs should measure the </w:t>
      </w:r>
      <w:r>
        <w:lastRenderedPageBreak/>
        <w:t xml:space="preserve">length of time it takes to move households into permanent housing. </w:t>
      </w:r>
    </w:p>
    <w:p w14:paraId="6566FEBC" w14:textId="77777777" w:rsidR="00B7696B" w:rsidRPr="00682322" w:rsidRDefault="00B7696B" w:rsidP="007055CE">
      <w:pPr>
        <w:pStyle w:val="ListParagraph"/>
        <w:widowControl w:val="0"/>
        <w:numPr>
          <w:ilvl w:val="1"/>
          <w:numId w:val="17"/>
        </w:numPr>
        <w:tabs>
          <w:tab w:val="left" w:pos="1522"/>
        </w:tabs>
        <w:spacing w:before="185" w:after="0" w:line="240" w:lineRule="auto"/>
        <w:ind w:right="175"/>
        <w:contextualSpacing w:val="0"/>
        <w:rPr>
          <w:i/>
        </w:rPr>
      </w:pPr>
      <w:r>
        <w:rPr>
          <w:i/>
        </w:rPr>
        <w:t xml:space="preserve">Engage landlords and property owners. </w:t>
      </w:r>
      <w:r>
        <w:t xml:space="preserve">CoCs should work to identify and recruit landlords so that when individuals or families need housing units are available, speeding up the housing process. This process can be used by individual providers or in a consolidated effort so that a few organizations work with landlords on behalf of several providers. </w:t>
      </w:r>
    </w:p>
    <w:p w14:paraId="3B4768C2" w14:textId="11EB78B0" w:rsidR="00B7696B" w:rsidRDefault="00B7696B" w:rsidP="007055CE">
      <w:pPr>
        <w:pStyle w:val="ListParagraph"/>
        <w:widowControl w:val="0"/>
        <w:numPr>
          <w:ilvl w:val="1"/>
          <w:numId w:val="17"/>
        </w:numPr>
        <w:tabs>
          <w:tab w:val="left" w:pos="1902"/>
        </w:tabs>
        <w:spacing w:before="185" w:after="0" w:line="240" w:lineRule="auto"/>
        <w:ind w:right="365"/>
        <w:contextualSpacing w:val="0"/>
      </w:pPr>
      <w:r w:rsidRPr="00E806D3">
        <w:rPr>
          <w:i/>
        </w:rPr>
        <w:t xml:space="preserve">Client-centered </w:t>
      </w:r>
      <w:r>
        <w:rPr>
          <w:i/>
        </w:rPr>
        <w:t>s</w:t>
      </w:r>
      <w:r w:rsidRPr="00E806D3">
        <w:rPr>
          <w:i/>
        </w:rPr>
        <w:t xml:space="preserve">ervice </w:t>
      </w:r>
      <w:r>
        <w:rPr>
          <w:i/>
        </w:rPr>
        <w:t>d</w:t>
      </w:r>
      <w:r w:rsidRPr="00E806D3">
        <w:rPr>
          <w:i/>
        </w:rPr>
        <w:t xml:space="preserve">elivery. </w:t>
      </w:r>
      <w:r w:rsidRPr="00E806D3">
        <w:t xml:space="preserve">Housing and service options should </w:t>
      </w:r>
      <w:r w:rsidRPr="00E806D3">
        <w:rPr>
          <w:spacing w:val="-3"/>
        </w:rPr>
        <w:t xml:space="preserve">be </w:t>
      </w:r>
      <w:r w:rsidRPr="00E806D3">
        <w:t xml:space="preserve">tailored to </w:t>
      </w:r>
      <w:r w:rsidRPr="00E806D3">
        <w:rPr>
          <w:spacing w:val="-3"/>
        </w:rPr>
        <w:t xml:space="preserve">meet </w:t>
      </w:r>
      <w:r w:rsidRPr="00E806D3">
        <w:t xml:space="preserve">the unique needs of each individual or family presenting for services. Program participants should not </w:t>
      </w:r>
      <w:r w:rsidRPr="00E806D3">
        <w:rPr>
          <w:spacing w:val="-3"/>
        </w:rPr>
        <w:t xml:space="preserve">be </w:t>
      </w:r>
      <w:r w:rsidRPr="00E806D3">
        <w:t xml:space="preserve">required to participate </w:t>
      </w:r>
      <w:r w:rsidRPr="00E806D3">
        <w:rPr>
          <w:spacing w:val="-3"/>
        </w:rPr>
        <w:t xml:space="preserve">in </w:t>
      </w:r>
      <w:r w:rsidRPr="00E806D3">
        <w:t>services that they do not believe will help them to achieve their</w:t>
      </w:r>
      <w:r w:rsidRPr="00E806D3">
        <w:rPr>
          <w:spacing w:val="-31"/>
        </w:rPr>
        <w:t xml:space="preserve"> </w:t>
      </w:r>
      <w:r w:rsidRPr="00E806D3">
        <w:t>goals.</w:t>
      </w:r>
    </w:p>
    <w:p w14:paraId="1181BE00" w14:textId="77777777" w:rsidR="00B7696B" w:rsidRPr="00E806D3" w:rsidRDefault="00B7696B" w:rsidP="007055CE">
      <w:pPr>
        <w:pStyle w:val="ListParagraph"/>
        <w:widowControl w:val="0"/>
        <w:tabs>
          <w:tab w:val="left" w:pos="1902"/>
        </w:tabs>
        <w:spacing w:before="185" w:after="0" w:line="240" w:lineRule="auto"/>
        <w:ind w:left="1440" w:right="365"/>
        <w:contextualSpacing w:val="0"/>
      </w:pPr>
    </w:p>
    <w:p w14:paraId="55A271B7" w14:textId="71D4349C" w:rsidR="00B7696B" w:rsidRPr="007055CE" w:rsidRDefault="00B7696B" w:rsidP="007055CE">
      <w:pPr>
        <w:pStyle w:val="ListParagraph"/>
        <w:numPr>
          <w:ilvl w:val="0"/>
          <w:numId w:val="17"/>
        </w:numPr>
        <w:rPr>
          <w:b/>
        </w:rPr>
      </w:pPr>
      <w:r w:rsidRPr="007055CE">
        <w:rPr>
          <w:b/>
        </w:rPr>
        <w:t>Reducing Unsheltered Homelessness</w:t>
      </w:r>
      <w:r>
        <w:t>. 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identify permanent housing options for people who are unsheltered.</w:t>
      </w:r>
    </w:p>
    <w:p w14:paraId="74F32AA5" w14:textId="77777777" w:rsidR="00B7696B" w:rsidRPr="007055CE" w:rsidRDefault="00B7696B" w:rsidP="007055CE">
      <w:pPr>
        <w:pStyle w:val="ListParagraph"/>
        <w:rPr>
          <w:b/>
        </w:rPr>
      </w:pPr>
    </w:p>
    <w:p w14:paraId="7A6E6EB5" w14:textId="26D00126" w:rsidR="00B7696B" w:rsidRPr="007055CE" w:rsidRDefault="00B7696B" w:rsidP="007055CE">
      <w:pPr>
        <w:pStyle w:val="ListParagraph"/>
        <w:numPr>
          <w:ilvl w:val="0"/>
          <w:numId w:val="17"/>
        </w:numPr>
        <w:rPr>
          <w:b/>
        </w:rPr>
      </w:pPr>
      <w:r w:rsidRPr="007055CE">
        <w:rPr>
          <w:b/>
        </w:rPr>
        <w:t>Improving System Performance</w:t>
      </w:r>
      <w:r>
        <w:t>. CoCs should be using system performance measures (e.g., average length of homeless episodes, rates of return to homelessness, rates of exit to permanent housing destinations) to determine how effectively they are serving people experiencing homelessness. Additionally, CoCs should use their Coordinated Entry proces</w:t>
      </w:r>
      <w:r w:rsidR="000C7F3B">
        <w:t xml:space="preserve">s to promote participant choice, coordinate homeless assistance and mainstream housing, and services to ensure people experiencing homelessness receive assistance quickly, and make homelessness assistance open, </w:t>
      </w:r>
      <w:r w:rsidR="000C7F3B">
        <w:lastRenderedPageBreak/>
        <w:t>inclusive, and transparent. CoCs should review all projects eligible for renewal in FY 2021 to determine their effectiveness in serving people experiencing homelessness, including cost-effectiveness. CoCs should also look for opportunities to implement continuous quality improvement and other process improvement strategies. HUD recognizes the effects of COVID-19 on CoC performance and data quality and, compared to previous CoC NOFOs, reduces the points available for rating factors related to system performance. However, HUD plans to significantly increase the points available for system performance rating factors in the FY 2022 and subsequent CoC NOFOs</w:t>
      </w:r>
    </w:p>
    <w:p w14:paraId="14C8E281" w14:textId="77777777" w:rsidR="000C7F3B" w:rsidRPr="007055CE" w:rsidRDefault="000C7F3B" w:rsidP="007055CE">
      <w:pPr>
        <w:pStyle w:val="ListParagraph"/>
        <w:rPr>
          <w:b/>
        </w:rPr>
      </w:pPr>
    </w:p>
    <w:p w14:paraId="58E982B7" w14:textId="48062653" w:rsidR="000C7F3B" w:rsidRPr="007055CE" w:rsidRDefault="000C7F3B" w:rsidP="007055CE">
      <w:pPr>
        <w:pStyle w:val="ListParagraph"/>
        <w:numPr>
          <w:ilvl w:val="0"/>
          <w:numId w:val="17"/>
        </w:numPr>
        <w:rPr>
          <w:b/>
        </w:rPr>
      </w:pPr>
      <w:r w:rsidRPr="007055CE">
        <w:rPr>
          <w:b/>
        </w:rPr>
        <w:t>Partnering with Housing, Health, and Service Agencies.</w:t>
      </w:r>
      <w:r>
        <w:t xml:space="preserve"> </w:t>
      </w:r>
      <w:r w:rsidR="007700FD">
        <w:t>HUD will award up to 10 bonus points to CoCs that submit new permanent supportive housing and rapid rehousing project applications demonstrating coordination with housing providers and healthcare organizations.</w:t>
      </w:r>
      <w:r w:rsidR="007700FD">
        <w:t xml:space="preserve"> </w:t>
      </w:r>
      <w:r>
        <w:t>Using cost performance and outcome data, CoCs should improve how all available resources are utilized to end homelessness. This is especially important as the CARES Act and American Rescue Plan have provided significant new resources to help end homelessness.</w:t>
      </w:r>
      <w:r w:rsidR="007700FD">
        <w:t xml:space="preserve"> </w:t>
      </w:r>
      <w:r>
        <w:t xml:space="preserve"> HUD encourages CoCs to maximize the use of mainstream and other community-based resources when serving persons experiencing homelessness and should: </w:t>
      </w:r>
    </w:p>
    <w:p w14:paraId="52DF45ED" w14:textId="77777777" w:rsidR="000C7F3B" w:rsidRDefault="000C7F3B" w:rsidP="007055CE">
      <w:pPr>
        <w:pStyle w:val="ListParagraph"/>
      </w:pPr>
    </w:p>
    <w:p w14:paraId="669D5BD9" w14:textId="2E6056D5" w:rsidR="000C7F3B" w:rsidRPr="007055CE" w:rsidRDefault="000C7F3B" w:rsidP="007055CE">
      <w:pPr>
        <w:pStyle w:val="ListParagraph"/>
        <w:numPr>
          <w:ilvl w:val="1"/>
          <w:numId w:val="17"/>
        </w:numPr>
        <w:rPr>
          <w:b/>
        </w:rPr>
      </w:pPr>
      <w:r>
        <w:t xml:space="preserve">Work closely with public and private healthcare organizations and assist program participants to obtain medical insurance to address healthcare needs; </w:t>
      </w:r>
    </w:p>
    <w:p w14:paraId="6A183018" w14:textId="2D60A29D" w:rsidR="000C7F3B" w:rsidRPr="007055CE" w:rsidRDefault="000C7F3B" w:rsidP="007055CE">
      <w:pPr>
        <w:pStyle w:val="ListParagraph"/>
        <w:numPr>
          <w:ilvl w:val="1"/>
          <w:numId w:val="17"/>
        </w:numPr>
        <w:rPr>
          <w:b/>
        </w:rPr>
      </w:pPr>
      <w:r>
        <w:t xml:space="preserve">Partner closely with Public Housing Authority (PHA) and state and local housing organizations to utilize coordinated entry, develop housing units, and provide housing subsidies to people experiencing homelessness. These partnerships can also help CoC Program participants exit permanent supportive housing through Housing Choice Vouchers and other available housing options. CoCs and PHAs should especially work together to implement </w:t>
      </w:r>
      <w:r>
        <w:lastRenderedPageBreak/>
        <w:t xml:space="preserve">targeted programs such as Emergency Housing Vouchers, HUD-VASH, Mainstream Vouchers, Family Unification Program Vouchers, and other housing voucher programs targeted to people experiencing homelessness. CoCs should coordinate with their state and local housing agencies on the utilization of new HOME program resources provided through the Homelessness Assistance and Supportive Services Program that was created through the American Rescue Plan; </w:t>
      </w:r>
    </w:p>
    <w:p w14:paraId="07FED06D" w14:textId="339B36EE" w:rsidR="007055CE" w:rsidRPr="007055CE" w:rsidRDefault="000C7F3B" w:rsidP="007055CE">
      <w:pPr>
        <w:pStyle w:val="ListParagraph"/>
        <w:numPr>
          <w:ilvl w:val="1"/>
          <w:numId w:val="17"/>
        </w:numPr>
        <w:rPr>
          <w:b/>
        </w:rPr>
      </w:pPr>
      <w:r>
        <w:t>Partner with local workforce development centers to i</w:t>
      </w:r>
      <w:r w:rsidR="007055CE">
        <w:t>mprove employment opportunities</w:t>
      </w:r>
    </w:p>
    <w:p w14:paraId="64971184" w14:textId="77777777" w:rsidR="007055CE" w:rsidRPr="007055CE" w:rsidRDefault="007055CE" w:rsidP="007055CE">
      <w:pPr>
        <w:pStyle w:val="ListParagraph"/>
        <w:ind w:left="1440"/>
        <w:rPr>
          <w:b/>
        </w:rPr>
      </w:pPr>
    </w:p>
    <w:p w14:paraId="33B01373" w14:textId="5515EEC7" w:rsidR="007055CE" w:rsidRPr="007055CE" w:rsidRDefault="00733CAA" w:rsidP="007055CE">
      <w:pPr>
        <w:pStyle w:val="ListParagraph"/>
        <w:numPr>
          <w:ilvl w:val="0"/>
          <w:numId w:val="17"/>
        </w:numPr>
        <w:rPr>
          <w:b/>
        </w:rPr>
      </w:pPr>
      <w:r w:rsidRPr="007055CE">
        <w:rPr>
          <w:b/>
        </w:rPr>
        <w:t xml:space="preserve"> </w:t>
      </w:r>
      <w:r w:rsidR="000C7F3B" w:rsidRPr="007055CE">
        <w:rPr>
          <w:b/>
        </w:rPr>
        <w:t>Racial Equity.</w:t>
      </w:r>
      <w:r w:rsidR="000C7F3B">
        <w:t xml:space="preserve"> In nearly every community, Black, Indigenous, and other people of color are substantially overrepresented in the homeless population. HUD is emphasizing system and program changes to address racial equity within CoCs. CoCs should review local policies, procedures, and processes to determine where and how to address racial disparities affecting individuals and families experiencing homelessness.</w:t>
      </w:r>
    </w:p>
    <w:p w14:paraId="457627E7" w14:textId="77777777" w:rsidR="007055CE" w:rsidRPr="007055CE" w:rsidRDefault="007055CE" w:rsidP="007055CE">
      <w:pPr>
        <w:pStyle w:val="ListParagraph"/>
        <w:rPr>
          <w:b/>
        </w:rPr>
      </w:pPr>
    </w:p>
    <w:p w14:paraId="7D7DD35E" w14:textId="4C5D55C4" w:rsidR="000C7F3B" w:rsidRPr="007055CE" w:rsidRDefault="000C7F3B" w:rsidP="007055CE">
      <w:pPr>
        <w:pStyle w:val="ListParagraph"/>
        <w:numPr>
          <w:ilvl w:val="0"/>
          <w:numId w:val="17"/>
        </w:numPr>
        <w:rPr>
          <w:b/>
        </w:rPr>
      </w:pPr>
      <w:r w:rsidRPr="007055CE">
        <w:rPr>
          <w:b/>
        </w:rPr>
        <w:t xml:space="preserve">Persons with Lived Experience. </w:t>
      </w:r>
      <w:r w:rsidRPr="007700FD">
        <w:t>HUD</w:t>
      </w:r>
      <w:r w:rsidRPr="002A1218">
        <w:t xml:space="preserve"> </w:t>
      </w:r>
      <w:r>
        <w:t>is encouraging CoCs to include in the local planning process people who are currently experiencing or have formerly experienced homelessness to address homelessness. People with lived experience should determine how local policies may need to be revised and updated, participate in CoC meetings and committees as stakeholders, provide input on decisions, and provide input related to the local competition process (e.g., how rating factors are determined). CoCs should seek opportunities to hire people with lived experience.</w:t>
      </w:r>
    </w:p>
    <w:p w14:paraId="08FA0650" w14:textId="69500898" w:rsidR="006940EE" w:rsidRDefault="00A53102" w:rsidP="00A53102">
      <w:r>
        <w:br w:type="page"/>
      </w:r>
    </w:p>
    <w:p w14:paraId="44305007" w14:textId="77777777" w:rsidR="00F91436" w:rsidRDefault="00F91436" w:rsidP="00FC7802">
      <w:pPr>
        <w:spacing w:line="240" w:lineRule="auto"/>
      </w:pPr>
    </w:p>
    <w:p w14:paraId="2FAA69D8" w14:textId="18355766" w:rsidR="007067E6" w:rsidRDefault="007067E6" w:rsidP="00FC7802">
      <w:pPr>
        <w:spacing w:line="240" w:lineRule="auto"/>
      </w:pPr>
      <w:r w:rsidRPr="00047825">
        <w:rPr>
          <w:b/>
          <w:noProof/>
          <w:color w:val="CF7347"/>
          <w:sz w:val="28"/>
        </w:rPr>
        <mc:AlternateContent>
          <mc:Choice Requires="wps">
            <w:drawing>
              <wp:anchor distT="0" distB="0" distL="114300" distR="114300" simplePos="0" relativeHeight="251666432" behindDoc="0" locked="0" layoutInCell="1" allowOverlap="1" wp14:anchorId="25B32633" wp14:editId="6BF79E3A">
                <wp:simplePos x="0" y="0"/>
                <wp:positionH relativeFrom="column">
                  <wp:posOffset>-161925</wp:posOffset>
                </wp:positionH>
                <wp:positionV relativeFrom="paragraph">
                  <wp:posOffset>-185420</wp:posOffset>
                </wp:positionV>
                <wp:extent cx="6829425" cy="3238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1E1962C7" w14:textId="409E64F1" w:rsidR="00B052A1" w:rsidRPr="00047825" w:rsidRDefault="00B052A1" w:rsidP="007067E6">
                            <w:pPr>
                              <w:jc w:val="center"/>
                              <w:rPr>
                                <w:b/>
                                <w:color w:val="FFFFFF" w:themeColor="background1"/>
                                <w:sz w:val="32"/>
                              </w:rPr>
                            </w:pPr>
                            <w:r>
                              <w:rPr>
                                <w:b/>
                                <w:color w:val="FFFFFF" w:themeColor="background1"/>
                                <w:sz w:val="32"/>
                              </w:rPr>
                              <w:t>RENEWAL PROJECT REALLOCATION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32633" id="Text Box 4" o:spid="_x0000_s1030" type="#_x0000_t202" style="position:absolute;margin-left:-12.75pt;margin-top:-14.6pt;width:537.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" fillcolor="#cf7347" stroked="f">
                <v:textbox>
                  <w:txbxContent>
                    <w:p w14:paraId="1E1962C7" w14:textId="409E64F1" w:rsidR="00B052A1" w:rsidRPr="00047825" w:rsidRDefault="00B052A1" w:rsidP="007067E6">
                      <w:pPr>
                        <w:jc w:val="center"/>
                        <w:rPr>
                          <w:b/>
                          <w:color w:val="FFFFFF" w:themeColor="background1"/>
                          <w:sz w:val="32"/>
                        </w:rPr>
                      </w:pPr>
                      <w:r>
                        <w:rPr>
                          <w:b/>
                          <w:color w:val="FFFFFF" w:themeColor="background1"/>
                          <w:sz w:val="32"/>
                        </w:rPr>
                        <w:t>RENEWAL PROJECT REALLOCATION PROCESS</w:t>
                      </w:r>
                    </w:p>
                  </w:txbxContent>
                </v:textbox>
              </v:shape>
            </w:pict>
          </mc:Fallback>
        </mc:AlternateContent>
      </w:r>
    </w:p>
    <w:p w14:paraId="526BA273" w14:textId="06257145" w:rsidR="005B5344" w:rsidRDefault="002120A0" w:rsidP="006D5A8E">
      <w:pPr>
        <w:spacing w:after="0" w:line="240" w:lineRule="auto"/>
      </w:pPr>
      <w:bookmarkStart w:id="8" w:name="renewal"/>
      <w:bookmarkEnd w:id="8"/>
      <w:r>
        <w:t xml:space="preserve">For several years, HUD has emphasized the importance of reallocating </w:t>
      </w:r>
      <w:r w:rsidR="005B5344">
        <w:t xml:space="preserve">funding from </w:t>
      </w:r>
      <w:r>
        <w:t>underperforming projects</w:t>
      </w:r>
      <w:r w:rsidR="005B5344">
        <w:t>, projects that are underspending, or projects that no longer meet the CoC needs</w:t>
      </w:r>
      <w:r w:rsidR="007978D2">
        <w:t>.  For FY202</w:t>
      </w:r>
      <w:r w:rsidR="004F3BDA">
        <w:t>1</w:t>
      </w:r>
      <w:r>
        <w:t>, HUD has c</w:t>
      </w:r>
      <w:bookmarkStart w:id="9" w:name="renewalreallocation"/>
      <w:bookmarkEnd w:id="9"/>
      <w:r>
        <w:t xml:space="preserve">ommunicated that in order to receive bonus project funding, communities </w:t>
      </w:r>
      <w:r w:rsidRPr="005B5344">
        <w:rPr>
          <w:b/>
        </w:rPr>
        <w:t>must be able to demonstrate</w:t>
      </w:r>
      <w:r w:rsidR="00AC1E15">
        <w:rPr>
          <w:b/>
        </w:rPr>
        <w:t xml:space="preserve"> allocation decisions are made based on performance and/or</w:t>
      </w:r>
      <w:r w:rsidRPr="005B5344">
        <w:rPr>
          <w:b/>
        </w:rPr>
        <w:t xml:space="preserve"> that they can successfully reallocate funding from lower-performing project</w:t>
      </w:r>
      <w:r w:rsidR="00AC1E15">
        <w:rPr>
          <w:b/>
        </w:rPr>
        <w:t>s.</w:t>
      </w:r>
      <w:r w:rsidR="0095338C">
        <w:t xml:space="preserve">  </w:t>
      </w:r>
    </w:p>
    <w:p w14:paraId="7A0112E6" w14:textId="77777777" w:rsidR="005B5344" w:rsidRDefault="005B5344" w:rsidP="006D5A8E">
      <w:pPr>
        <w:spacing w:after="0" w:line="240" w:lineRule="auto"/>
      </w:pPr>
    </w:p>
    <w:p w14:paraId="442D3FEC" w14:textId="3D8E91D9" w:rsidR="00AC1E15" w:rsidRDefault="0095338C" w:rsidP="006D5A8E">
      <w:pPr>
        <w:spacing w:after="0" w:line="240" w:lineRule="auto"/>
      </w:pPr>
      <w:r>
        <w:t xml:space="preserve">The Resource Allocation Committee has reviewed HUD guidance, previous </w:t>
      </w:r>
      <w:r w:rsidR="00FC345C">
        <w:t>NOFO</w:t>
      </w:r>
      <w:r>
        <w:t xml:space="preserve"> </w:t>
      </w:r>
      <w:r w:rsidR="005B5344">
        <w:t>results</w:t>
      </w:r>
      <w:r>
        <w:t>, project performance, and program guidelines to develop the following factors that will be used to determine whether full or partial reallocation of funds from a project may be necessary.</w:t>
      </w:r>
      <w:r w:rsidR="003B36C6">
        <w:t xml:space="preserve">  </w:t>
      </w:r>
      <w:r w:rsidR="00882AA5" w:rsidRPr="003B36C6">
        <w:t xml:space="preserve">The Resource Allocation Committee will notify renewal projects of their reallocation status and rationale in writing.  </w:t>
      </w:r>
    </w:p>
    <w:p w14:paraId="165E2E1C" w14:textId="77777777" w:rsidR="00AC1E15" w:rsidRDefault="00AC1E15" w:rsidP="006D5A8E">
      <w:pPr>
        <w:spacing w:after="0" w:line="240" w:lineRule="auto"/>
      </w:pPr>
    </w:p>
    <w:p w14:paraId="5BC1C5E4" w14:textId="1FE9A085" w:rsidR="00AC1E15" w:rsidRDefault="00AC1E15" w:rsidP="006D5A8E">
      <w:pPr>
        <w:spacing w:after="0" w:line="240" w:lineRule="auto"/>
      </w:pPr>
      <w:r>
        <w:t xml:space="preserve">If a renewal project would like to appeal the reallocation decision, a formal letter must be sent to </w:t>
      </w:r>
      <w:hyperlink r:id="rId21" w:history="1">
        <w:r w:rsidR="007700FD" w:rsidRPr="0043276E">
          <w:rPr>
            <w:rStyle w:val="Hyperlink"/>
          </w:rPr>
          <w:t xml:space="preserve">HSApplications@baltimorecity.gov. </w:t>
        </w:r>
      </w:hyperlink>
      <w:r>
        <w:t xml:space="preserve"> by the designated deadline.  Appeal requests will be reviewed by the CoC’s Executive Committee.  Projects may be asked for additional information to substantiate their appeal.  The Executive Committee will review all appeals and communicate a final decision to the renewal project in writing.</w:t>
      </w:r>
    </w:p>
    <w:p w14:paraId="0ACF0E24" w14:textId="77777777" w:rsidR="00AC1E15" w:rsidRDefault="00AC1E15" w:rsidP="006D5A8E">
      <w:pPr>
        <w:spacing w:after="0" w:line="240" w:lineRule="auto"/>
      </w:pPr>
    </w:p>
    <w:p w14:paraId="3DDE41E9" w14:textId="77777777" w:rsidR="006B6157" w:rsidRDefault="006B6157" w:rsidP="006B6157">
      <w:pPr>
        <w:spacing w:line="240" w:lineRule="auto"/>
        <w:rPr>
          <w:b/>
        </w:rPr>
      </w:pPr>
      <w:r w:rsidRPr="006D36B8">
        <w:rPr>
          <w:b/>
        </w:rPr>
        <w:t>Utilization</w:t>
      </w:r>
    </w:p>
    <w:p w14:paraId="12935353" w14:textId="77777777" w:rsidR="006B6157" w:rsidRPr="003B36C6" w:rsidRDefault="006B6157" w:rsidP="006B6157">
      <w:pPr>
        <w:spacing w:line="240" w:lineRule="auto"/>
      </w:pPr>
      <w:r w:rsidRPr="003B36C6">
        <w:t xml:space="preserve">Projects with a history of low utilization (under 95%) will be considered for a partial or full reallocation of funds, depending on the severity of the </w:t>
      </w:r>
      <w:r>
        <w:t>utilization rate</w:t>
      </w:r>
      <w:r w:rsidRPr="003B36C6">
        <w:t>.</w:t>
      </w:r>
      <w:r>
        <w:t xml:space="preserve">  Three years of utilization history will be reviewed, with a higher emphasis on the most recent program year completed.</w:t>
      </w:r>
    </w:p>
    <w:p w14:paraId="38F05C29" w14:textId="7A64EEB7" w:rsidR="006B6157" w:rsidRDefault="006B6157" w:rsidP="006B6157">
      <w:pPr>
        <w:spacing w:after="0" w:line="240" w:lineRule="auto"/>
        <w:rPr>
          <w:b/>
        </w:rPr>
      </w:pPr>
      <w:r w:rsidRPr="002120A0">
        <w:rPr>
          <w:b/>
        </w:rPr>
        <w:t>Spending History</w:t>
      </w:r>
    </w:p>
    <w:p w14:paraId="780C75E5" w14:textId="77777777" w:rsidR="006B6157" w:rsidRDefault="006B6157" w:rsidP="006B6157">
      <w:pPr>
        <w:spacing w:after="0" w:line="240" w:lineRule="auto"/>
      </w:pPr>
    </w:p>
    <w:p w14:paraId="1113CCB4" w14:textId="50495661" w:rsidR="006B6157" w:rsidRPr="002A62DE" w:rsidRDefault="006B6157" w:rsidP="006B6157">
      <w:pPr>
        <w:spacing w:after="0" w:line="240" w:lineRule="auto"/>
      </w:pPr>
      <w:r w:rsidRPr="002A62DE">
        <w:t xml:space="preserve">Projects with a history of returning funds to HUD will be considered for a partial or full reallocation of funds.  </w:t>
      </w:r>
      <w:r>
        <w:t>T</w:t>
      </w:r>
      <w:r w:rsidR="00FD6C0B">
        <w:t>hree</w:t>
      </w:r>
      <w:r>
        <w:t xml:space="preserve"> completed</w:t>
      </w:r>
      <w:r w:rsidRPr="002A62DE">
        <w:t xml:space="preserve"> years of spending history will be reviewed to show historical trends.  </w:t>
      </w:r>
      <w:r>
        <w:t xml:space="preserve">Please note that any organization found to have less than 100% of their grant expended will be required to provide an explanation why funds were recaptured. Depending upon the nature of the situation, the project or organization may be targeted for partial or full reallocation.  </w:t>
      </w:r>
      <w:r w:rsidRPr="002A62DE">
        <w:t xml:space="preserve">HUD expects programs to spend 100% of the funds they are allocated—if projects are </w:t>
      </w:r>
      <w:r>
        <w:t>chronically</w:t>
      </w:r>
      <w:r w:rsidRPr="002A62DE">
        <w:t xml:space="preserve"> underspending but are included in the ranking without a reallocation, HUD may reject a funding request for that project.</w:t>
      </w:r>
    </w:p>
    <w:p w14:paraId="3FA0C844" w14:textId="77777777" w:rsidR="006B6157" w:rsidRPr="002120A0" w:rsidRDefault="006B6157" w:rsidP="006B6157">
      <w:pPr>
        <w:spacing w:after="0" w:line="240" w:lineRule="auto"/>
        <w:rPr>
          <w:b/>
        </w:rPr>
      </w:pPr>
    </w:p>
    <w:p w14:paraId="162FBF5C" w14:textId="77777777" w:rsidR="006B6157" w:rsidRDefault="006B6157" w:rsidP="006B6157">
      <w:pPr>
        <w:spacing w:after="0" w:line="240" w:lineRule="auto"/>
        <w:rPr>
          <w:b/>
        </w:rPr>
      </w:pPr>
      <w:r>
        <w:rPr>
          <w:b/>
        </w:rPr>
        <w:t>Client Outcomes</w:t>
      </w:r>
    </w:p>
    <w:p w14:paraId="40CCDA0E" w14:textId="77777777" w:rsidR="006B6157" w:rsidRDefault="006B6157" w:rsidP="006B6157">
      <w:pPr>
        <w:spacing w:after="0" w:line="240" w:lineRule="auto"/>
      </w:pPr>
    </w:p>
    <w:p w14:paraId="0DD61651" w14:textId="77777777" w:rsidR="006B6157" w:rsidRDefault="006B6157" w:rsidP="006B6157">
      <w:pPr>
        <w:spacing w:after="0" w:line="240" w:lineRule="auto"/>
      </w:pPr>
      <w:r>
        <w:t>Renewal projects will be reviewed to determine whether the project is satisfactorily meeting performance outcomes related to permanent housing stability, income growth, connection to mainstream benefits, and other outcomes as measured in the Annual Performance Report submitted to HUD.</w:t>
      </w:r>
    </w:p>
    <w:p w14:paraId="6922E2FC" w14:textId="77777777" w:rsidR="006B6157" w:rsidRDefault="006B6157" w:rsidP="006B6157">
      <w:pPr>
        <w:spacing w:after="0" w:line="240" w:lineRule="auto"/>
      </w:pPr>
    </w:p>
    <w:p w14:paraId="7A6ADB46" w14:textId="77777777" w:rsidR="006B6157" w:rsidRDefault="006B6157" w:rsidP="006B6157">
      <w:pPr>
        <w:spacing w:after="0" w:line="240" w:lineRule="auto"/>
        <w:rPr>
          <w:b/>
        </w:rPr>
      </w:pPr>
      <w:r w:rsidRPr="002A62DE">
        <w:rPr>
          <w:b/>
        </w:rPr>
        <w:t>Program Compliance and Monitoring</w:t>
      </w:r>
    </w:p>
    <w:p w14:paraId="706B04B0" w14:textId="77777777" w:rsidR="006B6157" w:rsidRPr="002A62DE" w:rsidRDefault="006B6157" w:rsidP="006B6157">
      <w:pPr>
        <w:spacing w:after="0" w:line="240" w:lineRule="auto"/>
        <w:rPr>
          <w:b/>
        </w:rPr>
      </w:pPr>
    </w:p>
    <w:p w14:paraId="549FC24E" w14:textId="239FD63A" w:rsidR="00F91436" w:rsidRDefault="006B6157" w:rsidP="006B6157">
      <w:pPr>
        <w:spacing w:after="0" w:line="240" w:lineRule="auto"/>
      </w:pPr>
      <w:r w:rsidRPr="002A62DE">
        <w:t xml:space="preserve">Projects with unresolved monitoring findings or are in non-compliance for the CoC Program </w:t>
      </w:r>
      <w:r>
        <w:t>r</w:t>
      </w:r>
      <w:r w:rsidRPr="002A62DE">
        <w:t>egulations</w:t>
      </w:r>
      <w:r>
        <w:t xml:space="preserve"> (including participant eligibility)</w:t>
      </w:r>
      <w:r w:rsidRPr="002A62DE">
        <w:t xml:space="preserve">, </w:t>
      </w:r>
      <w:r>
        <w:t xml:space="preserve">Fair Housing, HUD regulations, </w:t>
      </w:r>
      <w:r w:rsidRPr="002A62DE">
        <w:t xml:space="preserve">Coordinated Access, HMIS participation, and other applicable regulations and laws may </w:t>
      </w:r>
      <w:r>
        <w:t>have funds</w:t>
      </w:r>
      <w:r w:rsidRPr="002A62DE">
        <w:t xml:space="preserve"> pa</w:t>
      </w:r>
      <w:r>
        <w:t xml:space="preserve">rtially or fully reallocated.  </w:t>
      </w:r>
    </w:p>
    <w:p w14:paraId="45EA2F95" w14:textId="77777777" w:rsidR="00F91436" w:rsidRDefault="00F91436">
      <w:r>
        <w:br w:type="page"/>
      </w:r>
    </w:p>
    <w:p w14:paraId="0FEE199C" w14:textId="77777777" w:rsidR="006B6157" w:rsidRDefault="006B6157" w:rsidP="006B6157">
      <w:pPr>
        <w:spacing w:after="0" w:line="240" w:lineRule="auto"/>
        <w:rPr>
          <w:b/>
        </w:rPr>
      </w:pPr>
    </w:p>
    <w:p w14:paraId="7B079242" w14:textId="1F951F34" w:rsidR="00C368B1" w:rsidRDefault="00C368B1" w:rsidP="00C368B1">
      <w:pPr>
        <w:spacing w:after="0" w:line="240" w:lineRule="auto"/>
      </w:pPr>
      <w:r w:rsidRPr="00047825">
        <w:rPr>
          <w:b/>
          <w:noProof/>
          <w:color w:val="CF7347"/>
          <w:sz w:val="28"/>
        </w:rPr>
        <mc:AlternateContent>
          <mc:Choice Requires="wps">
            <w:drawing>
              <wp:anchor distT="0" distB="0" distL="114300" distR="114300" simplePos="0" relativeHeight="251676672" behindDoc="0" locked="0" layoutInCell="1" allowOverlap="1" wp14:anchorId="518C3948" wp14:editId="36DACAE2">
                <wp:simplePos x="0" y="0"/>
                <wp:positionH relativeFrom="column">
                  <wp:posOffset>-180975</wp:posOffset>
                </wp:positionH>
                <wp:positionV relativeFrom="paragraph">
                  <wp:posOffset>25400</wp:posOffset>
                </wp:positionV>
                <wp:extent cx="6829425" cy="3238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2DCC7A3A" w14:textId="6143ED4E" w:rsidR="00B052A1" w:rsidRPr="00047825" w:rsidRDefault="00B052A1" w:rsidP="00C368B1">
                            <w:pPr>
                              <w:jc w:val="center"/>
                              <w:rPr>
                                <w:b/>
                                <w:color w:val="FFFFFF" w:themeColor="background1"/>
                                <w:sz w:val="32"/>
                              </w:rPr>
                            </w:pPr>
                            <w:r>
                              <w:rPr>
                                <w:b/>
                                <w:color w:val="FFFFFF" w:themeColor="background1"/>
                                <w:sz w:val="32"/>
                              </w:rPr>
                              <w:t>PROJECT RANKING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3948" id="Text Box 12" o:spid="_x0000_s1031" type="#_x0000_t202" style="position:absolute;margin-left:-14.25pt;margin-top:2pt;width:537.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" fillcolor="#cf7347" stroked="f">
                <v:textbox>
                  <w:txbxContent>
                    <w:p w14:paraId="2DCC7A3A" w14:textId="6143ED4E" w:rsidR="00B052A1" w:rsidRPr="00047825" w:rsidRDefault="00B052A1" w:rsidP="00C368B1">
                      <w:pPr>
                        <w:jc w:val="center"/>
                        <w:rPr>
                          <w:b/>
                          <w:color w:val="FFFFFF" w:themeColor="background1"/>
                          <w:sz w:val="32"/>
                        </w:rPr>
                      </w:pPr>
                      <w:r>
                        <w:rPr>
                          <w:b/>
                          <w:color w:val="FFFFFF" w:themeColor="background1"/>
                          <w:sz w:val="32"/>
                        </w:rPr>
                        <w:t>PROJECT RANKING PROCESS</w:t>
                      </w:r>
                    </w:p>
                  </w:txbxContent>
                </v:textbox>
              </v:shape>
            </w:pict>
          </mc:Fallback>
        </mc:AlternateContent>
      </w:r>
    </w:p>
    <w:p w14:paraId="1610DADE" w14:textId="77777777" w:rsidR="00CC6C74" w:rsidRDefault="00CC6C74" w:rsidP="008C4FC2">
      <w:pPr>
        <w:spacing w:after="0" w:line="240" w:lineRule="auto"/>
      </w:pPr>
    </w:p>
    <w:p w14:paraId="1FA94015" w14:textId="77777777" w:rsidR="00CC6C74" w:rsidRDefault="00CC6C74" w:rsidP="008C4FC2">
      <w:pPr>
        <w:spacing w:after="0" w:line="240" w:lineRule="auto"/>
      </w:pPr>
    </w:p>
    <w:p w14:paraId="0D75BF83" w14:textId="50ECA136" w:rsidR="00F91436" w:rsidRPr="008818EF" w:rsidRDefault="006B6157" w:rsidP="008818EF">
      <w:pPr>
        <w:spacing w:after="0" w:line="240" w:lineRule="auto"/>
        <w:rPr>
          <w:b/>
        </w:rPr>
      </w:pPr>
      <w:bookmarkStart w:id="10" w:name="ranking"/>
      <w:bookmarkEnd w:id="10"/>
      <w:r w:rsidRPr="00121BA6">
        <w:rPr>
          <w:b/>
        </w:rPr>
        <w:t>Renewal Project Scoring</w:t>
      </w:r>
      <w:r w:rsidR="008818EF">
        <w:rPr>
          <w:b/>
        </w:rPr>
        <w:br/>
      </w:r>
      <w:r>
        <w:t xml:space="preserve">Renewal projects approved by the Resource Allocation Committee (RAC) for inclusion in the CoC project ranking will be scored according to an objective scoring tool based on their individual project performance, alignment with HUD and CoC policy priorities, and compliance.  </w:t>
      </w:r>
      <w:r w:rsidR="00B5496B">
        <w:t xml:space="preserve">Project applications for YHDP renewal or replacement and CoC planning will not be listed on the CoC Priority Listing in rank order. </w:t>
      </w:r>
      <w:r>
        <w:t xml:space="preserve">Performance and HMIS elements are heavily weighted measures used by HUD in determining the overall CoC score for the </w:t>
      </w:r>
      <w:r w:rsidR="00FC345C">
        <w:t>NOFO</w:t>
      </w:r>
      <w:r>
        <w:t>. Data used in the project scoring tool comes largely from projects’ most recently submitted Annual Performance Report (APR</w:t>
      </w:r>
      <w:r w:rsidR="0010007C">
        <w:t>), project compliance and monitoring reports, and HMIS data</w:t>
      </w:r>
      <w:r>
        <w:t xml:space="preserve">.  Scoring tools are provided in </w:t>
      </w:r>
      <w:r w:rsidR="008818EF">
        <w:t>the Appendix</w:t>
      </w:r>
      <w:r>
        <w:t>.</w:t>
      </w:r>
      <w:r w:rsidR="008818EF">
        <w:t xml:space="preserve">  </w:t>
      </w:r>
      <w:r w:rsidRPr="00121BA6">
        <w:t>First-time renewals are</w:t>
      </w:r>
      <w:r w:rsidRPr="00C368B1">
        <w:t xml:space="preserve"> projects that have not yet completed their first operating year, and thus, cannot be scored for their performance</w:t>
      </w:r>
      <w:r>
        <w:t xml:space="preserve"> due to not having a completed Annual Performance Report (APR)</w:t>
      </w:r>
      <w:r w:rsidRPr="00C368B1">
        <w:t xml:space="preserve">.  However, the RAC will evaluate each first time renewal to ensure that each project is </w:t>
      </w:r>
      <w:r w:rsidR="00F91436">
        <w:t>achieving satisfactory progress.</w:t>
      </w:r>
      <w:r>
        <w:rPr>
          <w:b/>
        </w:rPr>
        <w:br/>
      </w:r>
      <w:r w:rsidR="008818EF">
        <w:rPr>
          <w:b/>
        </w:rPr>
        <w:br/>
      </w:r>
      <w:r w:rsidRPr="00121BA6">
        <w:rPr>
          <w:b/>
        </w:rPr>
        <w:t>New Project Selection</w:t>
      </w:r>
      <w:r w:rsidR="008818EF">
        <w:rPr>
          <w:b/>
        </w:rPr>
        <w:br/>
      </w:r>
      <w:r>
        <w:t xml:space="preserve">New project applicants will be assessed on the following:  project design, how the project addresses local priority needs, how the project aligns with local strategies and HUD’s priority to end homelessness, budget appropriateness and accuracy, project match, leveraging, CoC participation, community collaboration, organizational capacity, use of Housing First, and implementation timeline.   There may be new projects that fail to score well enough to be included in the </w:t>
      </w:r>
      <w:r w:rsidR="00FC345C">
        <w:t>NOFO</w:t>
      </w:r>
      <w:r>
        <w:t xml:space="preserve"> submission, or there may not be enough new project funding to fund all requests.   New project applicants are highly encouraged to review the new project application guide and instructions while preparing their application, which provide a wealth of resources on best practices, policies, procedures, and requirements.  </w:t>
      </w:r>
      <w:r w:rsidR="00F91436">
        <w:t xml:space="preserve">Scoring tools are provided in </w:t>
      </w:r>
      <w:r w:rsidR="008818EF">
        <w:t>the Appendix</w:t>
      </w:r>
      <w:r w:rsidR="00F91436">
        <w:t>.</w:t>
      </w:r>
    </w:p>
    <w:p w14:paraId="6150A9E0" w14:textId="7940CF4A" w:rsidR="006B6157" w:rsidRDefault="00F91436" w:rsidP="006B6157">
      <w:pPr>
        <w:spacing w:after="0" w:line="240" w:lineRule="auto"/>
        <w:rPr>
          <w:b/>
        </w:rPr>
      </w:pPr>
      <w:r>
        <w:rPr>
          <w:b/>
        </w:rPr>
        <w:lastRenderedPageBreak/>
        <w:br/>
      </w:r>
      <w:r w:rsidR="006B6157" w:rsidRPr="00121BA6">
        <w:rPr>
          <w:b/>
        </w:rPr>
        <w:t>Ranking Order</w:t>
      </w:r>
    </w:p>
    <w:p w14:paraId="6C5D8F19" w14:textId="5CA75996" w:rsidR="006B6157" w:rsidRDefault="00871026" w:rsidP="006B6157">
      <w:pPr>
        <w:spacing w:after="0" w:line="240" w:lineRule="auto"/>
      </w:pPr>
      <w:r>
        <w:t>R</w:t>
      </w:r>
      <w:r w:rsidR="006B6157">
        <w:t xml:space="preserve">enewal projects approved for inclusion </w:t>
      </w:r>
      <w:r w:rsidR="005C124C">
        <w:t xml:space="preserve">(not being fully reallocated) </w:t>
      </w:r>
      <w:r w:rsidR="006B6157">
        <w:t>in the CoC’s project ranking will be ranked in the following order:</w:t>
      </w:r>
    </w:p>
    <w:p w14:paraId="5C479536" w14:textId="77777777" w:rsidR="006B6157" w:rsidRDefault="006B6157" w:rsidP="006B6157">
      <w:pPr>
        <w:spacing w:after="0" w:line="240" w:lineRule="auto"/>
        <w:ind w:left="-540"/>
      </w:pPr>
    </w:p>
    <w:p w14:paraId="73A49A3E" w14:textId="44AA3ACA" w:rsidR="006B6157" w:rsidRDefault="00F91436" w:rsidP="00A87A42">
      <w:pPr>
        <w:pStyle w:val="ListParagraph"/>
        <w:numPr>
          <w:ilvl w:val="0"/>
          <w:numId w:val="4"/>
        </w:numPr>
        <w:spacing w:after="0" w:line="240" w:lineRule="auto"/>
        <w:ind w:left="1080"/>
        <w:contextualSpacing w:val="0"/>
      </w:pPr>
      <w:r>
        <w:t>HMIS</w:t>
      </w:r>
    </w:p>
    <w:p w14:paraId="74EB0E41" w14:textId="45B7FBA3" w:rsidR="006B6157" w:rsidRPr="0049086A" w:rsidRDefault="006B6157" w:rsidP="00A87A42">
      <w:pPr>
        <w:pStyle w:val="ListParagraph"/>
        <w:numPr>
          <w:ilvl w:val="0"/>
          <w:numId w:val="4"/>
        </w:numPr>
        <w:tabs>
          <w:tab w:val="left" w:pos="450"/>
        </w:tabs>
        <w:spacing w:after="0" w:line="240" w:lineRule="auto"/>
        <w:ind w:left="1080"/>
        <w:contextualSpacing w:val="0"/>
      </w:pPr>
      <w:r w:rsidRPr="0049086A">
        <w:t xml:space="preserve">Renewal permanent </w:t>
      </w:r>
      <w:r>
        <w:t xml:space="preserve">supportive </w:t>
      </w:r>
      <w:r w:rsidRPr="0049086A">
        <w:t>housing projects, ranked in order of highest</w:t>
      </w:r>
      <w:r>
        <w:t xml:space="preserve"> to lowest percentage score</w:t>
      </w:r>
    </w:p>
    <w:p w14:paraId="190EB35F" w14:textId="2ACAF5C3" w:rsidR="0010007C" w:rsidRDefault="0010007C" w:rsidP="0010007C">
      <w:pPr>
        <w:pStyle w:val="ListParagraph"/>
        <w:numPr>
          <w:ilvl w:val="0"/>
          <w:numId w:val="4"/>
        </w:numPr>
        <w:tabs>
          <w:tab w:val="left" w:pos="450"/>
        </w:tabs>
        <w:spacing w:after="0" w:line="240" w:lineRule="auto"/>
        <w:ind w:left="1080"/>
        <w:contextualSpacing w:val="0"/>
      </w:pPr>
      <w:r w:rsidRPr="0049086A">
        <w:t xml:space="preserve">Renewal </w:t>
      </w:r>
      <w:r>
        <w:t>rapid re-housing</w:t>
      </w:r>
      <w:r w:rsidRPr="0049086A">
        <w:t xml:space="preserve"> projects, ranked in order of highest</w:t>
      </w:r>
      <w:r>
        <w:t xml:space="preserve"> to lowest percentage score</w:t>
      </w:r>
    </w:p>
    <w:p w14:paraId="18A8FE89" w14:textId="55A7B71D" w:rsidR="006B6157" w:rsidRDefault="006B6157" w:rsidP="00A87A42">
      <w:pPr>
        <w:pStyle w:val="ListParagraph"/>
        <w:numPr>
          <w:ilvl w:val="0"/>
          <w:numId w:val="4"/>
        </w:numPr>
        <w:spacing w:after="0" w:line="240" w:lineRule="auto"/>
        <w:ind w:left="1080"/>
        <w:contextualSpacing w:val="0"/>
      </w:pPr>
      <w:r>
        <w:t>Renewal safe haven and transitional housing for youth, ranked in order of highest to lowest percentage score</w:t>
      </w:r>
    </w:p>
    <w:p w14:paraId="7D86A62A" w14:textId="77777777" w:rsidR="006B6157" w:rsidRDefault="006B6157" w:rsidP="006B6157">
      <w:pPr>
        <w:pStyle w:val="ListParagraph"/>
        <w:spacing w:after="0" w:line="240" w:lineRule="auto"/>
        <w:ind w:left="1080"/>
        <w:contextualSpacing w:val="0"/>
      </w:pPr>
    </w:p>
    <w:p w14:paraId="36EE15CD" w14:textId="3645C009" w:rsidR="006B6157" w:rsidRDefault="005C124C" w:rsidP="006B6157">
      <w:pPr>
        <w:spacing w:after="0" w:line="240" w:lineRule="auto"/>
      </w:pPr>
      <w:r>
        <w:t>Supportive services only (SSO)</w:t>
      </w:r>
      <w:r w:rsidR="006522B2">
        <w:t xml:space="preserve"> projects and n</w:t>
      </w:r>
      <w:r w:rsidR="00871026">
        <w:t xml:space="preserve">ew projects, including </w:t>
      </w:r>
      <w:r w:rsidR="008F7E6D">
        <w:t xml:space="preserve">CoC bonus, new projects through </w:t>
      </w:r>
      <w:r w:rsidR="007700FD">
        <w:t>reallocation, and</w:t>
      </w:r>
      <w:r w:rsidR="00871026">
        <w:t xml:space="preserve"> domestic violence </w:t>
      </w:r>
      <w:r w:rsidR="008F7E6D">
        <w:t xml:space="preserve">bonus </w:t>
      </w:r>
      <w:r w:rsidR="00871026">
        <w:t xml:space="preserve">projects, will be ranked after the Resource Allocation Committee has evaluated all </w:t>
      </w:r>
      <w:r w:rsidR="006522B2">
        <w:t>renewal projects</w:t>
      </w:r>
      <w:r w:rsidR="00871026">
        <w:t xml:space="preserve">.  </w:t>
      </w:r>
      <w:r>
        <w:t>SSO projects include Coordinated Access and street outreach.  All SSO and new projects</w:t>
      </w:r>
      <w:r w:rsidR="00871026">
        <w:t xml:space="preserve"> will be ranked in such a way to (1) maximize the CoC’s overall application score; (2) maximize the score of Tier 2 projects and ensure the highest possibility</w:t>
      </w:r>
      <w:r w:rsidR="006522B2">
        <w:t xml:space="preserve"> of having projects funded; </w:t>
      </w:r>
      <w:r w:rsidR="00871026">
        <w:t xml:space="preserve">(3) </w:t>
      </w:r>
      <w:r w:rsidR="006522B2">
        <w:t>increase the CoC’s system performance; and (4) effectively meet HUD policies and priorities.</w:t>
      </w:r>
    </w:p>
    <w:p w14:paraId="66C71D81" w14:textId="77777777" w:rsidR="006B6157" w:rsidRDefault="006B6157" w:rsidP="006B6157">
      <w:pPr>
        <w:spacing w:after="0" w:line="240" w:lineRule="auto"/>
      </w:pPr>
    </w:p>
    <w:p w14:paraId="7FC3DB5D" w14:textId="77777777" w:rsidR="006B6157" w:rsidRPr="00121BA6" w:rsidRDefault="006B6157" w:rsidP="006B6157">
      <w:pPr>
        <w:spacing w:after="0" w:line="240" w:lineRule="auto"/>
        <w:rPr>
          <w:b/>
        </w:rPr>
      </w:pPr>
      <w:r w:rsidRPr="00121BA6">
        <w:rPr>
          <w:b/>
        </w:rPr>
        <w:t>Tie-Breakers</w:t>
      </w:r>
    </w:p>
    <w:p w14:paraId="17C38882" w14:textId="77777777" w:rsidR="006B6157" w:rsidRDefault="006B6157" w:rsidP="006B6157">
      <w:pPr>
        <w:spacing w:after="0" w:line="240" w:lineRule="auto"/>
      </w:pPr>
      <w:r>
        <w:t>Ties within the same project type will be broken in the following order:</w:t>
      </w:r>
    </w:p>
    <w:p w14:paraId="4358914F" w14:textId="77777777" w:rsidR="006B6157" w:rsidRDefault="006B6157" w:rsidP="00A87A42">
      <w:pPr>
        <w:pStyle w:val="ListParagraph"/>
        <w:numPr>
          <w:ilvl w:val="0"/>
          <w:numId w:val="5"/>
        </w:numPr>
        <w:spacing w:after="0" w:line="240" w:lineRule="auto"/>
      </w:pPr>
      <w:r>
        <w:t>Highest % of clients exiting to or retaining permanent housing</w:t>
      </w:r>
    </w:p>
    <w:p w14:paraId="158A3E85" w14:textId="79312B36" w:rsidR="006B6157" w:rsidRDefault="006B6157" w:rsidP="00A87A42">
      <w:pPr>
        <w:pStyle w:val="ListParagraph"/>
        <w:numPr>
          <w:ilvl w:val="0"/>
          <w:numId w:val="5"/>
        </w:numPr>
        <w:spacing w:after="0" w:line="240" w:lineRule="auto"/>
      </w:pPr>
      <w:r>
        <w:t>Highest utilization rate</w:t>
      </w:r>
    </w:p>
    <w:p w14:paraId="60BE1488" w14:textId="77777777" w:rsidR="00D81BDE" w:rsidRDefault="006B6157" w:rsidP="006B6157">
      <w:pPr>
        <w:spacing w:after="0" w:line="240" w:lineRule="auto"/>
      </w:pPr>
      <w:r>
        <w:t>The Resource Allocation Committee may adjust individual projects up or down in the ranking or reallocate in order to fulfill HUD priorities, prevent potential losses of funding, and maximize the overall CoC application score.</w:t>
      </w:r>
    </w:p>
    <w:p w14:paraId="53E6DFE4" w14:textId="77777777" w:rsidR="00D81BDE" w:rsidRDefault="00D81BDE" w:rsidP="006B6157">
      <w:pPr>
        <w:spacing w:after="0" w:line="240" w:lineRule="auto"/>
      </w:pPr>
    </w:p>
    <w:p w14:paraId="14FA4CC9" w14:textId="16AE1513" w:rsidR="00D81BDE" w:rsidRDefault="00D81BDE" w:rsidP="006B6157">
      <w:pPr>
        <w:spacing w:after="0" w:line="240" w:lineRule="auto"/>
      </w:pPr>
      <w:r>
        <w:rPr>
          <w:b/>
        </w:rPr>
        <w:lastRenderedPageBreak/>
        <w:t xml:space="preserve">Youth Homelessness Demonstration Program </w:t>
      </w:r>
      <w:r>
        <w:rPr>
          <w:b/>
        </w:rPr>
        <w:br/>
      </w:r>
      <w:r>
        <w:t xml:space="preserve">The Youth Homelessness Demonstration Program </w:t>
      </w:r>
      <w:r w:rsidR="002A1218">
        <w:t>(</w:t>
      </w:r>
      <w:r>
        <w:t>awarded in August of 2019</w:t>
      </w:r>
      <w:r w:rsidR="002A1218">
        <w:t>)</w:t>
      </w:r>
      <w:r>
        <w:t xml:space="preserve"> is eligible for renewal </w:t>
      </w:r>
      <w:r w:rsidR="003D343D">
        <w:t xml:space="preserve">or replacement </w:t>
      </w:r>
      <w:r>
        <w:t>in the FY 2021 CoC Competition. As</w:t>
      </w:r>
      <w:r w:rsidR="008F7E6D">
        <w:t xml:space="preserve"> a demonstration program and</w:t>
      </w:r>
      <w:r>
        <w:t xml:space="preserve"> first-time renewals </w:t>
      </w:r>
      <w:r w:rsidR="008F7E6D">
        <w:t>HUD has indicated that YHDP projects will not be ranked</w:t>
      </w:r>
      <w:r>
        <w:t xml:space="preserve"> and will not fall under Tier 1 or Tier 2 funding. A</w:t>
      </w:r>
      <w:r w:rsidR="004B4230">
        <w:t>s</w:t>
      </w:r>
      <w:r>
        <w:t xml:space="preserve"> demonstration projects, these projects will be renewed to their full award and </w:t>
      </w:r>
      <w:r w:rsidR="00B5496B">
        <w:t xml:space="preserve">be listed </w:t>
      </w:r>
      <w:r>
        <w:t>based on the local priorities as follows:</w:t>
      </w:r>
    </w:p>
    <w:p w14:paraId="4DE892F9" w14:textId="33971A95" w:rsidR="00D81BDE" w:rsidRPr="0049086A" w:rsidRDefault="00D81BDE" w:rsidP="00D81BDE">
      <w:pPr>
        <w:pStyle w:val="ListParagraph"/>
        <w:numPr>
          <w:ilvl w:val="0"/>
          <w:numId w:val="16"/>
        </w:numPr>
        <w:tabs>
          <w:tab w:val="left" w:pos="450"/>
        </w:tabs>
        <w:spacing w:after="0" w:line="240" w:lineRule="auto"/>
        <w:ind w:left="1080"/>
        <w:contextualSpacing w:val="0"/>
      </w:pPr>
      <w:r w:rsidRPr="0049086A">
        <w:t xml:space="preserve">Renewal </w:t>
      </w:r>
      <w:r w:rsidR="00B5496B">
        <w:t xml:space="preserve">or replacement of </w:t>
      </w:r>
      <w:r w:rsidRPr="0049086A">
        <w:t xml:space="preserve">permanent </w:t>
      </w:r>
      <w:r>
        <w:t xml:space="preserve">supportive </w:t>
      </w:r>
      <w:r w:rsidRPr="0049086A">
        <w:t xml:space="preserve">housing projects, </w:t>
      </w:r>
    </w:p>
    <w:p w14:paraId="74CF1987" w14:textId="771BD90F" w:rsidR="00D81BDE" w:rsidRDefault="00D81BDE" w:rsidP="007055CE">
      <w:pPr>
        <w:pStyle w:val="ListParagraph"/>
        <w:numPr>
          <w:ilvl w:val="0"/>
          <w:numId w:val="16"/>
        </w:numPr>
        <w:tabs>
          <w:tab w:val="left" w:pos="450"/>
        </w:tabs>
        <w:spacing w:after="0" w:line="240" w:lineRule="auto"/>
        <w:ind w:left="1080"/>
        <w:contextualSpacing w:val="0"/>
      </w:pPr>
      <w:r w:rsidRPr="0049086A">
        <w:t xml:space="preserve">Renewal </w:t>
      </w:r>
      <w:r w:rsidR="00B5496B">
        <w:t xml:space="preserve">or replacement </w:t>
      </w:r>
      <w:r>
        <w:t>rapid re-housing</w:t>
      </w:r>
      <w:r w:rsidRPr="0049086A">
        <w:t xml:space="preserve"> projects, </w:t>
      </w:r>
    </w:p>
    <w:p w14:paraId="3E94061F" w14:textId="5FA93806" w:rsidR="00D81BDE" w:rsidRDefault="00D81BDE" w:rsidP="007055CE">
      <w:pPr>
        <w:pStyle w:val="ListParagraph"/>
        <w:numPr>
          <w:ilvl w:val="0"/>
          <w:numId w:val="16"/>
        </w:numPr>
        <w:tabs>
          <w:tab w:val="left" w:pos="450"/>
        </w:tabs>
        <w:spacing w:after="0" w:line="240" w:lineRule="auto"/>
        <w:ind w:left="1080"/>
        <w:contextualSpacing w:val="0"/>
      </w:pPr>
      <w:r>
        <w:t>Renewal</w:t>
      </w:r>
      <w:r w:rsidR="00B5496B">
        <w:t xml:space="preserve"> or replacement</w:t>
      </w:r>
      <w:r>
        <w:t xml:space="preserve"> transitional housing projects, </w:t>
      </w:r>
    </w:p>
    <w:p w14:paraId="63761D90" w14:textId="280B9583" w:rsidR="00D81BDE" w:rsidRDefault="00D81BDE" w:rsidP="007055CE">
      <w:pPr>
        <w:pStyle w:val="ListParagraph"/>
        <w:numPr>
          <w:ilvl w:val="0"/>
          <w:numId w:val="16"/>
        </w:numPr>
        <w:tabs>
          <w:tab w:val="left" w:pos="450"/>
        </w:tabs>
        <w:spacing w:after="0" w:line="240" w:lineRule="auto"/>
        <w:ind w:left="1080"/>
        <w:contextualSpacing w:val="0"/>
      </w:pPr>
      <w:r>
        <w:t xml:space="preserve">Renewal </w:t>
      </w:r>
      <w:r w:rsidR="00B5496B">
        <w:t xml:space="preserve">or replacement </w:t>
      </w:r>
      <w:r>
        <w:t xml:space="preserve">of Supportive services only (SSO) projects </w:t>
      </w:r>
    </w:p>
    <w:p w14:paraId="78A7DF00" w14:textId="617329C2" w:rsidR="00D81BDE" w:rsidRDefault="00D81BDE" w:rsidP="00A53102">
      <w:pPr>
        <w:spacing w:after="0" w:line="240" w:lineRule="auto"/>
      </w:pPr>
    </w:p>
    <w:p w14:paraId="13F1BA94" w14:textId="2F2AC737" w:rsidR="003D343D" w:rsidRDefault="00A53102" w:rsidP="00A53102">
      <w:r>
        <w:br w:type="page"/>
      </w:r>
    </w:p>
    <w:p w14:paraId="035A1720" w14:textId="79C9D113" w:rsidR="00C368B1" w:rsidRDefault="007E4879" w:rsidP="008C4FC2">
      <w:pPr>
        <w:spacing w:after="0" w:line="240" w:lineRule="auto"/>
      </w:pPr>
      <w:r w:rsidRPr="00047825">
        <w:rPr>
          <w:b/>
          <w:noProof/>
          <w:color w:val="CF7347"/>
          <w:sz w:val="28"/>
        </w:rPr>
        <w:lastRenderedPageBreak/>
        <mc:AlternateContent>
          <mc:Choice Requires="wps">
            <w:drawing>
              <wp:anchor distT="0" distB="0" distL="114300" distR="114300" simplePos="0" relativeHeight="251680768" behindDoc="0" locked="0" layoutInCell="1" allowOverlap="1" wp14:anchorId="2EAFE55B" wp14:editId="4E66B94B">
                <wp:simplePos x="0" y="0"/>
                <wp:positionH relativeFrom="column">
                  <wp:posOffset>-190500</wp:posOffset>
                </wp:positionH>
                <wp:positionV relativeFrom="paragraph">
                  <wp:posOffset>63500</wp:posOffset>
                </wp:positionV>
                <wp:extent cx="6829425" cy="3238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1E0AC6AF" w14:textId="2113A481" w:rsidR="00B052A1" w:rsidRPr="00047825" w:rsidRDefault="00B052A1" w:rsidP="007E4879">
                            <w:pPr>
                              <w:jc w:val="center"/>
                              <w:rPr>
                                <w:b/>
                                <w:color w:val="FFFFFF" w:themeColor="background1"/>
                                <w:sz w:val="32"/>
                              </w:rPr>
                            </w:pPr>
                            <w:r>
                              <w:rPr>
                                <w:b/>
                                <w:color w:val="FFFFFF" w:themeColor="background1"/>
                                <w:sz w:val="32"/>
                              </w:rPr>
                              <w:t>PROJECT ELIGIBILITY &amp; APPLICATION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FE55B" id="Text Box 16" o:spid="_x0000_s1032" type="#_x0000_t202" style="position:absolute;margin-left:-15pt;margin-top:5pt;width:537.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" fillcolor="#cf7347" stroked="f">
                <v:textbox>
                  <w:txbxContent>
                    <w:p w14:paraId="1E0AC6AF" w14:textId="2113A481" w:rsidR="00B052A1" w:rsidRPr="00047825" w:rsidRDefault="00B052A1" w:rsidP="007E4879">
                      <w:pPr>
                        <w:jc w:val="center"/>
                        <w:rPr>
                          <w:b/>
                          <w:color w:val="FFFFFF" w:themeColor="background1"/>
                          <w:sz w:val="32"/>
                        </w:rPr>
                      </w:pPr>
                      <w:r>
                        <w:rPr>
                          <w:b/>
                          <w:color w:val="FFFFFF" w:themeColor="background1"/>
                          <w:sz w:val="32"/>
                        </w:rPr>
                        <w:t>PROJECT ELIGIBILITY &amp; APPLICATION PROCEDURES</w:t>
                      </w:r>
                    </w:p>
                  </w:txbxContent>
                </v:textbox>
              </v:shape>
            </w:pict>
          </mc:Fallback>
        </mc:AlternateContent>
      </w:r>
    </w:p>
    <w:p w14:paraId="1E547EB1" w14:textId="77777777" w:rsidR="007E4879" w:rsidRDefault="007E4879" w:rsidP="008C4FC2">
      <w:pPr>
        <w:spacing w:after="0" w:line="240" w:lineRule="auto"/>
      </w:pPr>
    </w:p>
    <w:p w14:paraId="2A8CFC2E" w14:textId="5BBCEC80" w:rsidR="007E4879" w:rsidRDefault="007E4879" w:rsidP="008C4FC2">
      <w:pPr>
        <w:spacing w:after="0" w:line="240" w:lineRule="auto"/>
      </w:pPr>
    </w:p>
    <w:p w14:paraId="3F29F013" w14:textId="34344FB4" w:rsidR="00FA2BB7" w:rsidRPr="00FA2BB7" w:rsidRDefault="00230805" w:rsidP="00FA2BB7">
      <w:pPr>
        <w:autoSpaceDE w:val="0"/>
        <w:autoSpaceDN w:val="0"/>
        <w:adjustRightInd w:val="0"/>
        <w:spacing w:after="240" w:line="240" w:lineRule="auto"/>
        <w:rPr>
          <w:rFonts w:ascii="Calibri" w:eastAsia="Times New Roman" w:hAnsi="Calibri" w:cs="Times New Roman"/>
          <w:b/>
          <w:color w:val="000000"/>
          <w:sz w:val="24"/>
        </w:rPr>
      </w:pPr>
      <w:bookmarkStart w:id="11" w:name="projectapp"/>
      <w:bookmarkEnd w:id="11"/>
      <w:r>
        <w:rPr>
          <w:rFonts w:ascii="Calibri" w:eastAsia="Times New Roman" w:hAnsi="Calibri" w:cs="Times New Roman"/>
          <w:b/>
          <w:color w:val="000000"/>
          <w:sz w:val="24"/>
        </w:rPr>
        <w:t>Eligible Organizations</w:t>
      </w:r>
    </w:p>
    <w:p w14:paraId="4C37041B" w14:textId="77777777" w:rsidR="008F7E6D" w:rsidRDefault="006B6157" w:rsidP="00A87A42">
      <w:pPr>
        <w:numPr>
          <w:ilvl w:val="2"/>
          <w:numId w:val="11"/>
        </w:numPr>
        <w:autoSpaceDE w:val="0"/>
        <w:autoSpaceDN w:val="0"/>
        <w:adjustRightInd w:val="0"/>
        <w:spacing w:before="120" w:after="0" w:line="240" w:lineRule="auto"/>
        <w:ind w:left="720" w:hanging="270"/>
        <w:jc w:val="both"/>
        <w:rPr>
          <w:rFonts w:ascii="Calibri" w:hAnsi="Calibri"/>
          <w:color w:val="000000"/>
        </w:rPr>
      </w:pPr>
      <w:r w:rsidRPr="00092644">
        <w:rPr>
          <w:rFonts w:ascii="Calibri" w:hAnsi="Calibri"/>
          <w:color w:val="000000"/>
        </w:rPr>
        <w:t xml:space="preserve">A Non-Profit 501(c)(3) tax-exempt organization or another </w:t>
      </w:r>
      <w:r>
        <w:rPr>
          <w:rFonts w:ascii="Calibri" w:hAnsi="Calibri"/>
          <w:color w:val="000000"/>
        </w:rPr>
        <w:t>city government</w:t>
      </w:r>
      <w:r w:rsidRPr="00092644">
        <w:rPr>
          <w:rFonts w:ascii="Calibri" w:hAnsi="Calibri"/>
          <w:color w:val="000000"/>
        </w:rPr>
        <w:t xml:space="preserve"> agency</w:t>
      </w:r>
    </w:p>
    <w:p w14:paraId="01E62357" w14:textId="77777777" w:rsidR="008F7E6D" w:rsidRPr="007055CE" w:rsidRDefault="008F7E6D" w:rsidP="00A87A42">
      <w:pPr>
        <w:numPr>
          <w:ilvl w:val="2"/>
          <w:numId w:val="11"/>
        </w:numPr>
        <w:autoSpaceDE w:val="0"/>
        <w:autoSpaceDN w:val="0"/>
        <w:adjustRightInd w:val="0"/>
        <w:spacing w:before="120" w:after="0" w:line="240" w:lineRule="auto"/>
        <w:ind w:left="720" w:hanging="270"/>
        <w:jc w:val="both"/>
        <w:rPr>
          <w:rFonts w:ascii="Calibri" w:hAnsi="Calibri"/>
          <w:color w:val="000000"/>
        </w:rPr>
      </w:pPr>
      <w:r>
        <w:t>Applicants must be registered with https://www.sam.gov/SAM before submitting their application. In addition, Applicants must maintain an active SAM registration with current information while they have an active Federal award or an application or plan under consideration by HUD</w:t>
      </w:r>
    </w:p>
    <w:p w14:paraId="6291BC27" w14:textId="28ABF359" w:rsidR="006B6157" w:rsidRPr="00092644" w:rsidRDefault="008F7E6D" w:rsidP="00A87A42">
      <w:pPr>
        <w:numPr>
          <w:ilvl w:val="2"/>
          <w:numId w:val="11"/>
        </w:numPr>
        <w:autoSpaceDE w:val="0"/>
        <w:autoSpaceDN w:val="0"/>
        <w:adjustRightInd w:val="0"/>
        <w:spacing w:before="120" w:after="0" w:line="240" w:lineRule="auto"/>
        <w:ind w:left="720" w:hanging="270"/>
        <w:jc w:val="both"/>
        <w:rPr>
          <w:rFonts w:ascii="Calibri" w:hAnsi="Calibri"/>
          <w:color w:val="000000"/>
        </w:rPr>
      </w:pPr>
      <w:r>
        <w:t>DUNS Number Requirement. Applicants must provide a valid DUNS number, registered and active at https://www.sam.gov/SAM, in the application. DUNS numbers may be obtained for free from Dun &amp; Bradstreet.</w:t>
      </w:r>
    </w:p>
    <w:p w14:paraId="0BEBFE63" w14:textId="2C6F8DF8" w:rsidR="006B6157" w:rsidRPr="008F7E6D" w:rsidRDefault="006B6157" w:rsidP="008F7E6D">
      <w:pPr>
        <w:numPr>
          <w:ilvl w:val="2"/>
          <w:numId w:val="11"/>
        </w:numPr>
        <w:autoSpaceDE w:val="0"/>
        <w:autoSpaceDN w:val="0"/>
        <w:adjustRightInd w:val="0"/>
        <w:spacing w:before="120" w:after="0" w:line="240" w:lineRule="auto"/>
        <w:ind w:left="720" w:hanging="270"/>
        <w:rPr>
          <w:rFonts w:ascii="Calibri" w:hAnsi="Calibri"/>
          <w:color w:val="000000"/>
        </w:rPr>
      </w:pPr>
      <w:r>
        <w:rPr>
          <w:rFonts w:ascii="Calibri" w:hAnsi="Calibri"/>
          <w:color w:val="000000"/>
        </w:rPr>
        <w:t>I</w:t>
      </w:r>
      <w:r w:rsidRPr="008F7E6D">
        <w:rPr>
          <w:rFonts w:ascii="Calibri" w:hAnsi="Calibri"/>
          <w:color w:val="000000"/>
        </w:rPr>
        <w:t xml:space="preserve">n Good Standing with the State of Maryland (certification of Good Standing can be obtained through the </w:t>
      </w:r>
      <w:hyperlink r:id="rId22" w:history="1">
        <w:r w:rsidRPr="008F7E6D">
          <w:rPr>
            <w:rStyle w:val="Hyperlink"/>
            <w:rFonts w:ascii="Calibri" w:hAnsi="Calibri"/>
          </w:rPr>
          <w:t>Department of Taxation</w:t>
        </w:r>
      </w:hyperlink>
      <w:r w:rsidRPr="008F7E6D">
        <w:rPr>
          <w:rFonts w:ascii="Calibri" w:hAnsi="Calibri"/>
          <w:color w:val="000000"/>
        </w:rPr>
        <w:t xml:space="preserve"> website.)</w:t>
      </w:r>
    </w:p>
    <w:p w14:paraId="778AC3C0" w14:textId="55789FB2" w:rsidR="006B6157" w:rsidRPr="00D8675F" w:rsidRDefault="006B6157" w:rsidP="00A87A42">
      <w:pPr>
        <w:numPr>
          <w:ilvl w:val="2"/>
          <w:numId w:val="11"/>
        </w:numPr>
        <w:autoSpaceDE w:val="0"/>
        <w:autoSpaceDN w:val="0"/>
        <w:adjustRightInd w:val="0"/>
        <w:spacing w:before="120" w:after="0" w:line="240" w:lineRule="auto"/>
        <w:ind w:left="720" w:hanging="270"/>
        <w:rPr>
          <w:rFonts w:ascii="Calibri" w:hAnsi="Calibri"/>
          <w:color w:val="000000"/>
        </w:rPr>
      </w:pPr>
      <w:r>
        <w:rPr>
          <w:rFonts w:ascii="Calibri" w:hAnsi="Calibri"/>
          <w:color w:val="000000"/>
        </w:rPr>
        <w:t xml:space="preserve">Must </w:t>
      </w:r>
      <w:r w:rsidR="000C48DE">
        <w:rPr>
          <w:rFonts w:ascii="Calibri" w:hAnsi="Calibri"/>
          <w:color w:val="000000"/>
        </w:rPr>
        <w:t xml:space="preserve">have two </w:t>
      </w:r>
      <w:r w:rsidR="008F7E6D">
        <w:rPr>
          <w:rFonts w:ascii="Calibri" w:hAnsi="Calibri"/>
          <w:color w:val="000000"/>
        </w:rPr>
        <w:t>years of</w:t>
      </w:r>
      <w:r w:rsidR="000C48DE">
        <w:rPr>
          <w:rFonts w:ascii="Calibri" w:hAnsi="Calibri"/>
          <w:color w:val="000000"/>
        </w:rPr>
        <w:t xml:space="preserve"> most recent Single Audit </w:t>
      </w:r>
      <w:r w:rsidRPr="00F5296A">
        <w:rPr>
          <w:rFonts w:ascii="Calibri" w:hAnsi="Calibri"/>
          <w:color w:val="000000"/>
        </w:rPr>
        <w:t>or</w:t>
      </w:r>
      <w:r>
        <w:rPr>
          <w:rFonts w:ascii="Calibri" w:hAnsi="Calibri"/>
          <w:color w:val="000000"/>
        </w:rPr>
        <w:t xml:space="preserve"> independent financial audits</w:t>
      </w:r>
      <w:r w:rsidR="008D36DF">
        <w:rPr>
          <w:rFonts w:ascii="Calibri" w:hAnsi="Calibri"/>
          <w:color w:val="000000"/>
        </w:rPr>
        <w:t xml:space="preserve"> that </w:t>
      </w:r>
      <w:r w:rsidR="008D36DF">
        <w:t>demonstrate the financial and management capacity and experience to carry out the project as detailed in the project application and the capacity to administer federal funds. Demonstrating capacity may include a description of the applicant and subrecipient experience with similar projects and with successful administration of SHP, S+C, or CoC Program funds or other federal funds</w:t>
      </w:r>
    </w:p>
    <w:p w14:paraId="1B1C5C20" w14:textId="5CD2BB0E" w:rsidR="008B12D1" w:rsidRDefault="008B12D1" w:rsidP="008B12D1">
      <w:pPr>
        <w:numPr>
          <w:ilvl w:val="2"/>
          <w:numId w:val="11"/>
        </w:numPr>
        <w:autoSpaceDE w:val="0"/>
        <w:autoSpaceDN w:val="0"/>
        <w:adjustRightInd w:val="0"/>
        <w:spacing w:before="120" w:after="0" w:line="240" w:lineRule="auto"/>
        <w:ind w:left="720" w:hanging="270"/>
        <w:rPr>
          <w:rFonts w:ascii="Calibri" w:hAnsi="Calibri"/>
          <w:color w:val="000000"/>
        </w:rPr>
      </w:pPr>
      <w:r>
        <w:rPr>
          <w:rFonts w:ascii="Calibri" w:hAnsi="Calibri"/>
          <w:color w:val="000000"/>
        </w:rPr>
        <w:t>Commitment</w:t>
      </w:r>
      <w:r w:rsidR="006B6157">
        <w:rPr>
          <w:rFonts w:ascii="Calibri" w:hAnsi="Calibri"/>
          <w:color w:val="000000"/>
        </w:rPr>
        <w:t xml:space="preserve"> to operating the program under the Housing First model.  </w:t>
      </w:r>
    </w:p>
    <w:p w14:paraId="1B5EEF1D" w14:textId="5AB411BE" w:rsidR="008D36DF" w:rsidRDefault="008D36DF" w:rsidP="008B12D1">
      <w:pPr>
        <w:numPr>
          <w:ilvl w:val="2"/>
          <w:numId w:val="11"/>
        </w:numPr>
        <w:autoSpaceDE w:val="0"/>
        <w:autoSpaceDN w:val="0"/>
        <w:adjustRightInd w:val="0"/>
        <w:spacing w:before="120" w:after="0" w:line="240" w:lineRule="auto"/>
        <w:ind w:left="720" w:hanging="270"/>
        <w:rPr>
          <w:rFonts w:ascii="Calibri" w:hAnsi="Calibri"/>
          <w:color w:val="000000"/>
        </w:rPr>
      </w:pPr>
      <w:r>
        <w:t>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meets the needs of the local HMIS.</w:t>
      </w:r>
    </w:p>
    <w:p w14:paraId="745E52CD" w14:textId="2A06ED33" w:rsidR="006B6157" w:rsidRPr="008B12D1" w:rsidRDefault="006B6157" w:rsidP="008B12D1">
      <w:pPr>
        <w:numPr>
          <w:ilvl w:val="2"/>
          <w:numId w:val="11"/>
        </w:numPr>
        <w:autoSpaceDE w:val="0"/>
        <w:autoSpaceDN w:val="0"/>
        <w:adjustRightInd w:val="0"/>
        <w:spacing w:before="120" w:after="0" w:line="240" w:lineRule="auto"/>
        <w:ind w:left="720" w:hanging="270"/>
        <w:rPr>
          <w:rFonts w:ascii="Calibri" w:hAnsi="Calibri"/>
          <w:color w:val="000000"/>
        </w:rPr>
      </w:pPr>
      <w:r w:rsidRPr="008B12D1">
        <w:rPr>
          <w:rFonts w:ascii="Calibri" w:hAnsi="Calibri"/>
          <w:color w:val="000000"/>
        </w:rPr>
        <w:lastRenderedPageBreak/>
        <w:t>Able to document at least a 25% cash or in-kind match for the amount of funding requested</w:t>
      </w:r>
    </w:p>
    <w:p w14:paraId="3D79BCAB" w14:textId="3310AF7E" w:rsidR="00FA2BB7" w:rsidRPr="00FA2BB7" w:rsidRDefault="00230805" w:rsidP="00230805">
      <w:pPr>
        <w:autoSpaceDE w:val="0"/>
        <w:autoSpaceDN w:val="0"/>
        <w:adjustRightInd w:val="0"/>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br/>
        <w:t>Submission Requirements</w:t>
      </w:r>
    </w:p>
    <w:p w14:paraId="0247CD28" w14:textId="474ECD5F" w:rsidR="00FA2BB7" w:rsidRPr="00FA2BB7" w:rsidRDefault="007B3B11" w:rsidP="00230805">
      <w:pPr>
        <w:autoSpaceDE w:val="0"/>
        <w:autoSpaceDN w:val="0"/>
        <w:adjustRightInd w:val="0"/>
        <w:spacing w:before="120" w:after="0" w:line="240" w:lineRule="auto"/>
        <w:rPr>
          <w:rFonts w:ascii="Calibri" w:eastAsia="Times New Roman" w:hAnsi="Calibri" w:cs="Times New Roman"/>
          <w:color w:val="000000"/>
        </w:rPr>
      </w:pPr>
      <w:r>
        <w:rPr>
          <w:rFonts w:ascii="Calibri" w:eastAsia="Times New Roman" w:hAnsi="Calibri" w:cs="Times New Roman"/>
          <w:color w:val="000000"/>
        </w:rPr>
        <w:t xml:space="preserve">The full project eligibility and application submission requirements are listed in the accompanying </w:t>
      </w:r>
      <w:r w:rsidRPr="00DD5650">
        <w:rPr>
          <w:rFonts w:ascii="Calibri" w:eastAsia="Times New Roman" w:hAnsi="Calibri" w:cs="Times New Roman"/>
        </w:rPr>
        <w:t xml:space="preserve">Project </w:t>
      </w:r>
      <w:r w:rsidR="00DD5650">
        <w:rPr>
          <w:rFonts w:ascii="Calibri" w:eastAsia="Times New Roman" w:hAnsi="Calibri" w:cs="Times New Roman"/>
        </w:rPr>
        <w:t>Request for Proposals</w:t>
      </w:r>
      <w:r>
        <w:rPr>
          <w:rFonts w:ascii="Calibri" w:eastAsia="Times New Roman" w:hAnsi="Calibri" w:cs="Times New Roman"/>
          <w:color w:val="000000"/>
        </w:rPr>
        <w:t xml:space="preserve">.  </w:t>
      </w:r>
      <w:r w:rsidR="00230805" w:rsidRPr="00230805">
        <w:rPr>
          <w:rFonts w:ascii="Calibri" w:eastAsia="Times New Roman" w:hAnsi="Calibri" w:cs="Times New Roman"/>
          <w:color w:val="000000"/>
        </w:rPr>
        <w:t xml:space="preserve">Applicants will submit </w:t>
      </w:r>
      <w:r w:rsidR="00FA2BB7" w:rsidRPr="00FA2BB7">
        <w:rPr>
          <w:rFonts w:ascii="Calibri" w:eastAsia="Times New Roman" w:hAnsi="Calibri" w:cs="Times New Roman"/>
          <w:color w:val="000000"/>
        </w:rPr>
        <w:t>(1) electronic copy of the application and all requir</w:t>
      </w:r>
      <w:r w:rsidR="00D00BFA">
        <w:rPr>
          <w:rFonts w:ascii="Calibri" w:eastAsia="Times New Roman" w:hAnsi="Calibri" w:cs="Times New Roman"/>
          <w:color w:val="000000"/>
        </w:rPr>
        <w:t>ed supporting documents</w:t>
      </w:r>
      <w:r w:rsidR="00230805">
        <w:rPr>
          <w:rFonts w:ascii="Calibri" w:eastAsia="Times New Roman" w:hAnsi="Calibri" w:cs="Times New Roman"/>
          <w:color w:val="000000"/>
        </w:rPr>
        <w:t xml:space="preserve"> </w:t>
      </w:r>
      <w:r w:rsidR="00FA2BB7" w:rsidRPr="00FA2BB7">
        <w:rPr>
          <w:rFonts w:ascii="Calibri" w:eastAsia="Times New Roman" w:hAnsi="Calibri" w:cs="Times New Roman"/>
          <w:color w:val="000000"/>
        </w:rPr>
        <w:t xml:space="preserve">to </w:t>
      </w:r>
      <w:hyperlink r:id="rId23" w:history="1">
        <w:r w:rsidR="00F1724C" w:rsidRPr="0043276E">
          <w:rPr>
            <w:rStyle w:val="Hyperlink"/>
            <w:rFonts w:ascii="Calibri" w:eastAsia="Times New Roman" w:hAnsi="Calibri" w:cs="Times New Roman"/>
          </w:rPr>
          <w:t xml:space="preserve"> HSPApplications@baltimorecity.gov. </w:t>
        </w:r>
      </w:hyperlink>
      <w:r w:rsidR="00F1724C">
        <w:rPr>
          <w:rFonts w:ascii="Calibri" w:eastAsia="Times New Roman" w:hAnsi="Calibri" w:cs="Times New Roman"/>
          <w:color w:val="000000"/>
        </w:rPr>
        <w:t xml:space="preserve"> </w:t>
      </w:r>
      <w:r w:rsidR="00FA2BB7" w:rsidRPr="00FA2BB7">
        <w:rPr>
          <w:rFonts w:ascii="Calibri" w:eastAsia="Times New Roman" w:hAnsi="Calibri" w:cs="Times New Roman"/>
          <w:color w:val="000000"/>
        </w:rPr>
        <w:t xml:space="preserve">No paper or faxed applications will be accepted.  </w:t>
      </w:r>
      <w:r w:rsidR="00F43D28">
        <w:rPr>
          <w:rFonts w:ascii="Calibri" w:eastAsia="Times New Roman" w:hAnsi="Calibri" w:cs="Times New Roman"/>
          <w:color w:val="000000"/>
        </w:rPr>
        <w:t xml:space="preserve">All project applications </w:t>
      </w:r>
      <w:r w:rsidR="00FA2BB7" w:rsidRPr="00FA2BB7">
        <w:rPr>
          <w:rFonts w:ascii="Calibri" w:eastAsia="Times New Roman" w:hAnsi="Calibri" w:cs="Times New Roman"/>
          <w:color w:val="000000"/>
        </w:rPr>
        <w:t xml:space="preserve">must be received by </w:t>
      </w:r>
      <w:r w:rsidR="008D36DF">
        <w:rPr>
          <w:rFonts w:ascii="Calibri" w:eastAsia="Times New Roman" w:hAnsi="Calibri" w:cs="Times New Roman"/>
          <w:color w:val="000000"/>
        </w:rPr>
        <w:t>5:00</w:t>
      </w:r>
      <w:r w:rsidR="00FA2BB7" w:rsidRPr="00FA2BB7">
        <w:rPr>
          <w:rFonts w:ascii="Calibri" w:eastAsia="Times New Roman" w:hAnsi="Calibri" w:cs="Times New Roman"/>
          <w:color w:val="000000"/>
        </w:rPr>
        <w:t xml:space="preserve">pm on </w:t>
      </w:r>
      <w:r w:rsidR="00FA2BB7">
        <w:rPr>
          <w:rFonts w:ascii="Calibri" w:eastAsia="Times New Roman" w:hAnsi="Calibri" w:cs="Times New Roman"/>
          <w:color w:val="000000"/>
        </w:rPr>
        <w:t>the application deadline stated in the timeline at the beginning of this document</w:t>
      </w:r>
      <w:r w:rsidR="00230805">
        <w:rPr>
          <w:rFonts w:ascii="Calibri" w:eastAsia="Times New Roman" w:hAnsi="Calibri" w:cs="Times New Roman"/>
          <w:color w:val="000000"/>
        </w:rPr>
        <w:t>.</w:t>
      </w:r>
      <w:r w:rsidR="00CF6626">
        <w:rPr>
          <w:rFonts w:ascii="Calibri" w:eastAsia="Times New Roman" w:hAnsi="Calibri" w:cs="Times New Roman"/>
          <w:color w:val="000000"/>
        </w:rPr>
        <w:t xml:space="preserve">  </w:t>
      </w:r>
    </w:p>
    <w:p w14:paraId="179633A0" w14:textId="77777777" w:rsidR="00FA2BB7" w:rsidRDefault="00FA2BB7" w:rsidP="00FA2BB7">
      <w:pPr>
        <w:autoSpaceDE w:val="0"/>
        <w:autoSpaceDN w:val="0"/>
        <w:adjustRightInd w:val="0"/>
        <w:spacing w:after="0" w:line="240" w:lineRule="auto"/>
        <w:rPr>
          <w:rFonts w:ascii="Calibri" w:eastAsia="Times New Roman" w:hAnsi="Calibri" w:cs="Times New Roman"/>
          <w:b/>
          <w:bCs/>
          <w:color w:val="000000"/>
        </w:rPr>
      </w:pPr>
    </w:p>
    <w:p w14:paraId="57E086A8" w14:textId="2F47BB32" w:rsidR="00F43D28" w:rsidRDefault="00F43D28" w:rsidP="00FA2BB7">
      <w:pPr>
        <w:autoSpaceDE w:val="0"/>
        <w:autoSpaceDN w:val="0"/>
        <w:adjustRightInd w:val="0"/>
        <w:spacing w:after="0" w:line="240" w:lineRule="auto"/>
        <w:rPr>
          <w:rFonts w:ascii="Calibri" w:eastAsia="Times New Roman" w:hAnsi="Calibri" w:cs="Times New Roman"/>
          <w:color w:val="000000"/>
        </w:rPr>
      </w:pPr>
      <w:r w:rsidRPr="00F43D28">
        <w:rPr>
          <w:rFonts w:ascii="Calibri" w:eastAsia="Times New Roman" w:hAnsi="Calibri" w:cs="Times New Roman"/>
          <w:b/>
          <w:color w:val="000000"/>
        </w:rPr>
        <w:t>Direct grantees of HUD</w:t>
      </w:r>
      <w:r>
        <w:rPr>
          <w:rFonts w:ascii="Calibri" w:eastAsia="Times New Roman" w:hAnsi="Calibri" w:cs="Times New Roman"/>
          <w:color w:val="000000"/>
        </w:rPr>
        <w:t xml:space="preserve"> must submit their project applications in HUD’s e-Snaps system and email the list of attachments and certifications </w:t>
      </w:r>
      <w:r w:rsidR="00DD5650">
        <w:rPr>
          <w:rFonts w:ascii="Calibri" w:eastAsia="Times New Roman" w:hAnsi="Calibri" w:cs="Times New Roman"/>
          <w:color w:val="000000"/>
        </w:rPr>
        <w:t>listed in the Project Request for Proposals</w:t>
      </w:r>
      <w:r>
        <w:rPr>
          <w:rFonts w:ascii="Calibri" w:eastAsia="Times New Roman" w:hAnsi="Calibri" w:cs="Times New Roman"/>
          <w:color w:val="000000"/>
        </w:rPr>
        <w:t xml:space="preserve"> to </w:t>
      </w:r>
      <w:hyperlink r:id="rId24" w:history="1">
        <w:r w:rsidR="007700FD" w:rsidRPr="0043276E">
          <w:rPr>
            <w:rStyle w:val="Hyperlink"/>
            <w:rFonts w:ascii="Calibri" w:eastAsia="Times New Roman" w:hAnsi="Calibri" w:cs="Times New Roman"/>
          </w:rPr>
          <w:t xml:space="preserve">HSPApplications@baltimorecity.gov. </w:t>
        </w:r>
      </w:hyperlink>
      <w:r>
        <w:rPr>
          <w:rFonts w:ascii="Calibri" w:eastAsia="Times New Roman" w:hAnsi="Calibri" w:cs="Times New Roman"/>
          <w:color w:val="000000"/>
        </w:rPr>
        <w:t xml:space="preserve"> by the project application deadline.  </w:t>
      </w:r>
    </w:p>
    <w:p w14:paraId="5D834DDB" w14:textId="77777777" w:rsidR="00F43D28" w:rsidRPr="00FA2BB7" w:rsidRDefault="00F43D28" w:rsidP="00FA2BB7">
      <w:pPr>
        <w:autoSpaceDE w:val="0"/>
        <w:autoSpaceDN w:val="0"/>
        <w:adjustRightInd w:val="0"/>
        <w:spacing w:after="0" w:line="240" w:lineRule="auto"/>
        <w:rPr>
          <w:rFonts w:ascii="Calibri" w:eastAsia="Times New Roman" w:hAnsi="Calibri" w:cs="Times New Roman"/>
          <w:b/>
          <w:bCs/>
          <w:color w:val="000000"/>
        </w:rPr>
      </w:pPr>
    </w:p>
    <w:p w14:paraId="78474E86" w14:textId="32F466B4" w:rsidR="008B12D1" w:rsidRDefault="00FA2BB7" w:rsidP="00230805">
      <w:pPr>
        <w:tabs>
          <w:tab w:val="left" w:pos="90"/>
        </w:tabs>
        <w:autoSpaceDE w:val="0"/>
        <w:autoSpaceDN w:val="0"/>
        <w:adjustRightInd w:val="0"/>
        <w:spacing w:after="0" w:line="240" w:lineRule="auto"/>
        <w:rPr>
          <w:rFonts w:ascii="Calibri" w:eastAsia="Times New Roman" w:hAnsi="Calibri" w:cs="Times New Roman"/>
          <w:color w:val="0000FF"/>
        </w:rPr>
      </w:pPr>
      <w:r w:rsidRPr="00FA2BB7">
        <w:rPr>
          <w:rFonts w:ascii="Calibri" w:eastAsia="Times New Roman" w:hAnsi="Calibri" w:cs="Times New Roman"/>
          <w:bCs/>
          <w:color w:val="000000"/>
        </w:rPr>
        <w:t xml:space="preserve">Questions regarding </w:t>
      </w:r>
      <w:r w:rsidR="00BD7FF0">
        <w:rPr>
          <w:rFonts w:ascii="Calibri" w:eastAsia="Times New Roman" w:hAnsi="Calibri" w:cs="Times New Roman"/>
          <w:bCs/>
          <w:color w:val="000000"/>
        </w:rPr>
        <w:t xml:space="preserve">the </w:t>
      </w:r>
      <w:r w:rsidR="00FC345C">
        <w:rPr>
          <w:rFonts w:ascii="Calibri" w:eastAsia="Times New Roman" w:hAnsi="Calibri" w:cs="Times New Roman"/>
          <w:bCs/>
          <w:color w:val="000000"/>
        </w:rPr>
        <w:t>NOFO</w:t>
      </w:r>
      <w:r w:rsidR="00BD7FF0">
        <w:rPr>
          <w:rFonts w:ascii="Calibri" w:eastAsia="Times New Roman" w:hAnsi="Calibri" w:cs="Times New Roman"/>
          <w:bCs/>
          <w:color w:val="000000"/>
        </w:rPr>
        <w:t xml:space="preserve"> process, application templates, and instructions </w:t>
      </w:r>
      <w:r w:rsidRPr="00FA2BB7">
        <w:rPr>
          <w:rFonts w:ascii="Calibri" w:eastAsia="Times New Roman" w:hAnsi="Calibri" w:cs="Times New Roman"/>
          <w:bCs/>
          <w:color w:val="000000"/>
        </w:rPr>
        <w:t xml:space="preserve">can be directed to </w:t>
      </w:r>
      <w:hyperlink r:id="rId25" w:history="1">
        <w:r w:rsidR="007700FD" w:rsidRPr="0043276E">
          <w:rPr>
            <w:rStyle w:val="Hyperlink"/>
            <w:rFonts w:ascii="Calibri" w:eastAsia="Times New Roman" w:hAnsi="Calibri" w:cs="Times New Roman"/>
          </w:rPr>
          <w:t xml:space="preserve">HSPApplications@baltimorecity.gov. </w:t>
        </w:r>
      </w:hyperlink>
    </w:p>
    <w:p w14:paraId="01113F03" w14:textId="77777777" w:rsidR="008B12D1" w:rsidRDefault="008B12D1">
      <w:pPr>
        <w:rPr>
          <w:rFonts w:ascii="Calibri" w:eastAsia="Times New Roman" w:hAnsi="Calibri" w:cs="Times New Roman"/>
          <w:color w:val="0000FF"/>
        </w:rPr>
      </w:pPr>
      <w:r>
        <w:rPr>
          <w:rFonts w:ascii="Calibri" w:eastAsia="Times New Roman" w:hAnsi="Calibri" w:cs="Times New Roman"/>
          <w:color w:val="0000FF"/>
        </w:rPr>
        <w:br w:type="page"/>
      </w:r>
    </w:p>
    <w:p w14:paraId="21DAECAD" w14:textId="77777777" w:rsidR="00FA2BB7" w:rsidRPr="00FA2BB7" w:rsidRDefault="00FA2BB7" w:rsidP="00230805">
      <w:pPr>
        <w:tabs>
          <w:tab w:val="left" w:pos="90"/>
        </w:tabs>
        <w:autoSpaceDE w:val="0"/>
        <w:autoSpaceDN w:val="0"/>
        <w:adjustRightInd w:val="0"/>
        <w:spacing w:after="0" w:line="240" w:lineRule="auto"/>
        <w:rPr>
          <w:rFonts w:ascii="Calibri" w:eastAsia="Times New Roman" w:hAnsi="Calibri" w:cs="Times New Roman"/>
          <w:b/>
          <w:color w:val="000000"/>
        </w:rPr>
      </w:pPr>
    </w:p>
    <w:p w14:paraId="629C73DF" w14:textId="77777777" w:rsidR="00FA2BB7" w:rsidRPr="00FA2BB7" w:rsidRDefault="00FA2BB7" w:rsidP="00FA2BB7">
      <w:pPr>
        <w:autoSpaceDE w:val="0"/>
        <w:autoSpaceDN w:val="0"/>
        <w:adjustRightInd w:val="0"/>
        <w:spacing w:after="0" w:line="240" w:lineRule="auto"/>
        <w:ind w:left="720"/>
        <w:rPr>
          <w:rFonts w:ascii="Calibri" w:eastAsia="Times New Roman" w:hAnsi="Calibri" w:cs="Times New Roman"/>
          <w:sz w:val="16"/>
        </w:rPr>
      </w:pPr>
    </w:p>
    <w:p w14:paraId="27162255" w14:textId="77777777" w:rsidR="00FA2BB7" w:rsidRPr="00FA2BB7" w:rsidRDefault="00FA2BB7" w:rsidP="00FA2BB7">
      <w:pPr>
        <w:autoSpaceDE w:val="0"/>
        <w:autoSpaceDN w:val="0"/>
        <w:adjustRightInd w:val="0"/>
        <w:spacing w:after="0" w:line="240" w:lineRule="auto"/>
        <w:rPr>
          <w:rFonts w:ascii="Calibri" w:eastAsia="Times New Roman" w:hAnsi="Calibri" w:cs="Times New Roman"/>
          <w:b/>
          <w:bCs/>
          <w:color w:val="000000"/>
          <w:sz w:val="12"/>
          <w:szCs w:val="24"/>
        </w:rPr>
      </w:pPr>
    </w:p>
    <w:p w14:paraId="2A83915C" w14:textId="77777777" w:rsidR="00C4147A" w:rsidRDefault="00C4147A" w:rsidP="00C4147A">
      <w:pPr>
        <w:spacing w:line="240" w:lineRule="auto"/>
        <w:jc w:val="center"/>
        <w:rPr>
          <w:b/>
          <w:color w:val="CF7347"/>
          <w:sz w:val="56"/>
        </w:rPr>
      </w:pPr>
    </w:p>
    <w:p w14:paraId="22F446D6" w14:textId="77777777" w:rsidR="008B12D1" w:rsidRDefault="008B12D1" w:rsidP="00C4147A">
      <w:pPr>
        <w:spacing w:line="240" w:lineRule="auto"/>
        <w:jc w:val="center"/>
        <w:rPr>
          <w:b/>
          <w:color w:val="CF7347"/>
          <w:sz w:val="56"/>
        </w:rPr>
      </w:pPr>
    </w:p>
    <w:p w14:paraId="38CC83EA" w14:textId="77777777" w:rsidR="008B12D1" w:rsidRDefault="008B12D1" w:rsidP="00C4147A">
      <w:pPr>
        <w:spacing w:line="240" w:lineRule="auto"/>
        <w:jc w:val="center"/>
        <w:rPr>
          <w:b/>
          <w:color w:val="CF7347"/>
          <w:sz w:val="56"/>
        </w:rPr>
      </w:pPr>
    </w:p>
    <w:p w14:paraId="240AA859" w14:textId="77777777" w:rsidR="008B12D1" w:rsidRDefault="008B12D1" w:rsidP="00C4147A">
      <w:pPr>
        <w:spacing w:line="240" w:lineRule="auto"/>
        <w:jc w:val="center"/>
        <w:rPr>
          <w:b/>
          <w:color w:val="CF7347"/>
          <w:sz w:val="56"/>
        </w:rPr>
      </w:pPr>
    </w:p>
    <w:p w14:paraId="0E7E57B4" w14:textId="77777777" w:rsidR="008B12D1" w:rsidRDefault="008B12D1" w:rsidP="00C4147A">
      <w:pPr>
        <w:spacing w:line="240" w:lineRule="auto"/>
        <w:jc w:val="center"/>
        <w:rPr>
          <w:b/>
          <w:color w:val="CF7347"/>
          <w:sz w:val="56"/>
        </w:rPr>
      </w:pPr>
    </w:p>
    <w:p w14:paraId="5E9D2D42" w14:textId="1EFB71B4" w:rsidR="00A1017E" w:rsidRDefault="00813BF8" w:rsidP="007304CC">
      <w:pPr>
        <w:spacing w:line="240" w:lineRule="auto"/>
        <w:jc w:val="center"/>
        <w:rPr>
          <w:b/>
          <w:color w:val="CF7347"/>
          <w:kern w:val="16"/>
          <w:sz w:val="96"/>
          <w:szCs w:val="72"/>
        </w:rPr>
      </w:pPr>
      <w:r>
        <w:rPr>
          <w:b/>
          <w:color w:val="CF7347"/>
          <w:kern w:val="16"/>
          <w:sz w:val="96"/>
          <w:szCs w:val="72"/>
        </w:rPr>
        <w:t>APPENDICES</w:t>
      </w:r>
    </w:p>
    <w:p w14:paraId="2C80A2B0" w14:textId="34A2B304" w:rsidR="00512139" w:rsidRPr="004C49DF" w:rsidRDefault="00A1017E" w:rsidP="00512139">
      <w:pPr>
        <w:jc w:val="center"/>
        <w:rPr>
          <w:rFonts w:ascii="Calibri" w:hAnsi="Calibri"/>
          <w:b/>
        </w:rPr>
      </w:pPr>
      <w:r>
        <w:rPr>
          <w:b/>
          <w:color w:val="CF7347"/>
          <w:kern w:val="16"/>
          <w:sz w:val="96"/>
          <w:szCs w:val="72"/>
        </w:rPr>
        <w:br w:type="page"/>
      </w:r>
    </w:p>
    <w:p w14:paraId="5DEE0EAE" w14:textId="3335DC35" w:rsidR="00512139" w:rsidRPr="00813BF8" w:rsidRDefault="00813BF8" w:rsidP="00813BF8">
      <w:pPr>
        <w:spacing w:line="240" w:lineRule="auto"/>
        <w:rPr>
          <w:b/>
          <w:color w:val="CF7347"/>
          <w:kern w:val="16"/>
          <w:sz w:val="24"/>
          <w:szCs w:val="24"/>
        </w:rPr>
      </w:pPr>
      <w:r w:rsidRPr="00813BF8">
        <w:rPr>
          <w:b/>
          <w:color w:val="CF7347"/>
          <w:kern w:val="16"/>
          <w:sz w:val="24"/>
          <w:szCs w:val="24"/>
        </w:rPr>
        <w:lastRenderedPageBreak/>
        <w:t xml:space="preserve">APPENDIX A </w:t>
      </w:r>
    </w:p>
    <w:p w14:paraId="10B613C3" w14:textId="39E7D9A0" w:rsidR="00512139" w:rsidRPr="009A30D5" w:rsidRDefault="00512139" w:rsidP="00512139">
      <w:pPr>
        <w:spacing w:after="0"/>
        <w:jc w:val="center"/>
        <w:rPr>
          <w:rFonts w:ascii="Calibri" w:hAnsi="Calibri"/>
          <w:b/>
          <w:sz w:val="24"/>
        </w:rPr>
      </w:pPr>
      <w:r w:rsidRPr="009A30D5">
        <w:rPr>
          <w:rFonts w:ascii="Calibri" w:hAnsi="Calibri"/>
          <w:b/>
          <w:sz w:val="24"/>
        </w:rPr>
        <w:t>FY 2021 Continuum of Care Competition (CoC)</w:t>
      </w:r>
    </w:p>
    <w:p w14:paraId="5B4E5012" w14:textId="3D6A0FD6" w:rsidR="00512139" w:rsidRPr="009A30D5" w:rsidRDefault="00512139" w:rsidP="00512139">
      <w:pPr>
        <w:spacing w:after="0"/>
        <w:jc w:val="center"/>
        <w:rPr>
          <w:rFonts w:ascii="Calibri" w:hAnsi="Calibri"/>
          <w:b/>
          <w:sz w:val="24"/>
        </w:rPr>
      </w:pPr>
      <w:r w:rsidRPr="009A30D5">
        <w:rPr>
          <w:rFonts w:ascii="Calibri" w:hAnsi="Calibri"/>
          <w:b/>
          <w:sz w:val="24"/>
        </w:rPr>
        <w:t>Threshold Review Tool</w:t>
      </w:r>
    </w:p>
    <w:p w14:paraId="28EE46C1" w14:textId="292ECFFD" w:rsidR="00512139" w:rsidRPr="009A30D5" w:rsidRDefault="00512139" w:rsidP="00512139">
      <w:pPr>
        <w:spacing w:after="0"/>
        <w:jc w:val="center"/>
        <w:rPr>
          <w:rFonts w:ascii="Calibri" w:hAnsi="Calibri"/>
          <w:b/>
          <w:sz w:val="24"/>
        </w:rPr>
      </w:pPr>
      <w:r w:rsidRPr="009A30D5">
        <w:rPr>
          <w:rFonts w:ascii="Calibri" w:hAnsi="Calibri"/>
          <w:b/>
          <w:sz w:val="24"/>
        </w:rPr>
        <w:t>New Applications</w:t>
      </w:r>
    </w:p>
    <w:p w14:paraId="6662A2AC" w14:textId="77777777" w:rsidR="00512139" w:rsidRPr="006D4896" w:rsidRDefault="00512139" w:rsidP="00512139">
      <w:pPr>
        <w:rPr>
          <w:rFonts w:ascii="Calibri" w:hAnsi="Calibri"/>
        </w:rPr>
      </w:pPr>
      <w:r w:rsidRPr="006D4896">
        <w:rPr>
          <w:rFonts w:ascii="Calibri" w:hAnsi="Calibri"/>
        </w:rPr>
        <w:t>Name of Organization:</w:t>
      </w:r>
      <w:r w:rsidRPr="006D4896">
        <w:rPr>
          <w:rFonts w:ascii="Calibri" w:hAnsi="Calibri"/>
        </w:rPr>
        <w:tab/>
      </w:r>
      <w:r w:rsidRPr="006D4896">
        <w:rPr>
          <w:rFonts w:ascii="Calibri" w:hAnsi="Calibri"/>
        </w:rPr>
        <w:tab/>
      </w:r>
    </w:p>
    <w:p w14:paraId="71077C0B" w14:textId="77777777" w:rsidR="00512139" w:rsidRPr="006D4896" w:rsidRDefault="00512139" w:rsidP="00512139">
      <w:pPr>
        <w:rPr>
          <w:rFonts w:ascii="Calibri" w:hAnsi="Calibri"/>
        </w:rPr>
      </w:pPr>
      <w:r w:rsidRPr="006D4896">
        <w:rPr>
          <w:rFonts w:ascii="Calibri" w:hAnsi="Calibri"/>
        </w:rPr>
        <w:t>Project Title:</w:t>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p>
    <w:p w14:paraId="472EB0D9" w14:textId="77777777" w:rsidR="00512139" w:rsidRPr="006D4896" w:rsidRDefault="00512139" w:rsidP="00512139">
      <w:pPr>
        <w:rPr>
          <w:rFonts w:ascii="Calibri" w:hAnsi="Calibri"/>
        </w:rPr>
      </w:pPr>
      <w:r w:rsidRPr="006D4896">
        <w:rPr>
          <w:rFonts w:ascii="Calibri" w:hAnsi="Calibri"/>
        </w:rPr>
        <w:t>Address of Proposed Project:</w:t>
      </w:r>
      <w:r w:rsidRPr="006D4896">
        <w:rPr>
          <w:rFonts w:ascii="Calibri" w:hAnsi="Calibri"/>
        </w:rPr>
        <w:tab/>
      </w:r>
      <w:r w:rsidRPr="006D4896">
        <w:rPr>
          <w:rFonts w:ascii="Calibri" w:hAnsi="Calibri"/>
        </w:rPr>
        <w:tab/>
      </w:r>
    </w:p>
    <w:p w14:paraId="6543629A" w14:textId="77777777" w:rsidR="00512139" w:rsidRPr="006D4896" w:rsidRDefault="00512139" w:rsidP="00512139">
      <w:pPr>
        <w:rPr>
          <w:rFonts w:ascii="Calibri" w:hAnsi="Calibri"/>
        </w:rPr>
      </w:pPr>
      <w:r w:rsidRPr="006D4896">
        <w:rPr>
          <w:rFonts w:ascii="Calibri" w:hAnsi="Calibri"/>
        </w:rPr>
        <w:t>City / Zip code:</w:t>
      </w:r>
      <w:r w:rsidRPr="006D4896">
        <w:rPr>
          <w:rFonts w:ascii="Calibri" w:hAnsi="Calibri"/>
        </w:rPr>
        <w:tab/>
      </w:r>
      <w:r w:rsidRPr="006D4896">
        <w:rPr>
          <w:rFonts w:ascii="Calibri" w:hAnsi="Calibri"/>
        </w:rPr>
        <w:tab/>
      </w:r>
      <w:r w:rsidRPr="006D4896">
        <w:rPr>
          <w:rFonts w:ascii="Calibri" w:hAnsi="Calibri"/>
        </w:rPr>
        <w:tab/>
      </w:r>
    </w:p>
    <w:p w14:paraId="2C4054D7" w14:textId="1C613D6F" w:rsidR="00512139" w:rsidRPr="00512139" w:rsidRDefault="00512139" w:rsidP="00512139">
      <w:pPr>
        <w:rPr>
          <w:sz w:val="28"/>
        </w:rPr>
      </w:pPr>
      <w:r w:rsidRPr="006D4896">
        <w:rPr>
          <w:rFonts w:ascii="Calibri" w:hAnsi="Calibri"/>
        </w:rPr>
        <w:t>Amount Requested:</w:t>
      </w:r>
      <w:r w:rsidRPr="006D4896">
        <w:rPr>
          <w:rFonts w:ascii="Calibri" w:hAnsi="Calibri"/>
        </w:rPr>
        <w:tab/>
      </w:r>
      <w:r>
        <w:rPr>
          <w:sz w:val="28"/>
        </w:rPr>
        <w:tab/>
      </w:r>
    </w:p>
    <w:p w14:paraId="0F8E8547" w14:textId="4A1633D9" w:rsidR="00512139" w:rsidRPr="006D4896" w:rsidRDefault="00512139" w:rsidP="00512139">
      <w:pPr>
        <w:rPr>
          <w:rFonts w:ascii="Calibri" w:hAnsi="Calibri"/>
        </w:rPr>
      </w:pPr>
      <w:r w:rsidRPr="006D4896">
        <w:rPr>
          <w:rFonts w:ascii="Calibri" w:hAnsi="Calibri"/>
        </w:rPr>
        <w:t>Please check if t</w:t>
      </w:r>
      <w:r>
        <w:rPr>
          <w:rFonts w:ascii="Calibri" w:hAnsi="Calibri"/>
        </w:rPr>
        <w:t>he following have been submitted:</w:t>
      </w:r>
      <w:r w:rsidRPr="006D4896">
        <w:rPr>
          <w:rFonts w:ascii="Calibri" w:hAnsi="Calibri"/>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
        <w:gridCol w:w="6353"/>
        <w:gridCol w:w="535"/>
        <w:gridCol w:w="536"/>
        <w:gridCol w:w="2454"/>
      </w:tblGrid>
      <w:tr w:rsidR="00512139" w:rsidRPr="0054386E" w14:paraId="123D2022" w14:textId="77777777" w:rsidTr="00512139">
        <w:trPr>
          <w:trHeight w:val="422"/>
        </w:trPr>
        <w:tc>
          <w:tcPr>
            <w:tcW w:w="10142" w:type="dxa"/>
            <w:gridSpan w:val="5"/>
            <w:shd w:val="clear" w:color="auto" w:fill="BFBFBF"/>
            <w:vAlign w:val="center"/>
          </w:tcPr>
          <w:p w14:paraId="699B9F5A" w14:textId="77777777" w:rsidR="00512139" w:rsidRPr="0054386E" w:rsidRDefault="00512139" w:rsidP="00E648E3">
            <w:pPr>
              <w:rPr>
                <w:b/>
                <w:smallCaps/>
              </w:rPr>
            </w:pPr>
            <w:r w:rsidRPr="004C49DF">
              <w:rPr>
                <w:rFonts w:ascii="Calibri" w:hAnsi="Calibri"/>
                <w:b/>
              </w:rPr>
              <w:t>Application Components</w:t>
            </w:r>
            <w:r>
              <w:rPr>
                <w:rFonts w:ascii="Calibri" w:hAnsi="Calibri"/>
                <w:b/>
              </w:rPr>
              <w:t>:</w:t>
            </w:r>
          </w:p>
        </w:tc>
      </w:tr>
      <w:tr w:rsidR="00512139" w:rsidRPr="0054386E" w14:paraId="57D8E437" w14:textId="77777777" w:rsidTr="00512139">
        <w:tc>
          <w:tcPr>
            <w:tcW w:w="264" w:type="dxa"/>
            <w:tcBorders>
              <w:right w:val="nil"/>
            </w:tcBorders>
          </w:tcPr>
          <w:p w14:paraId="4E06630F" w14:textId="77777777" w:rsidR="00512139" w:rsidRPr="0054386E" w:rsidRDefault="00512139" w:rsidP="00E648E3">
            <w:pPr>
              <w:jc w:val="center"/>
              <w:rPr>
                <w:rFonts w:ascii="Arial" w:hAnsi="Arial" w:cs="Arial"/>
                <w:smallCaps/>
              </w:rPr>
            </w:pPr>
          </w:p>
        </w:tc>
        <w:tc>
          <w:tcPr>
            <w:tcW w:w="6353" w:type="dxa"/>
            <w:tcBorders>
              <w:left w:val="nil"/>
            </w:tcBorders>
          </w:tcPr>
          <w:p w14:paraId="661324D1" w14:textId="1FF9769F" w:rsidR="00512139" w:rsidRPr="0054386E" w:rsidRDefault="00512139" w:rsidP="00E648E3">
            <w:pPr>
              <w:rPr>
                <w:rFonts w:ascii="Calibri" w:hAnsi="Calibri"/>
              </w:rPr>
            </w:pPr>
          </w:p>
        </w:tc>
        <w:tc>
          <w:tcPr>
            <w:tcW w:w="535" w:type="dxa"/>
          </w:tcPr>
          <w:p w14:paraId="07785520" w14:textId="10A96541" w:rsidR="00512139" w:rsidRPr="0054386E" w:rsidRDefault="00512139" w:rsidP="00E648E3">
            <w:pPr>
              <w:jc w:val="center"/>
              <w:rPr>
                <w:b/>
                <w:smallCaps/>
              </w:rPr>
            </w:pPr>
            <w:r>
              <w:rPr>
                <w:b/>
                <w:smallCaps/>
              </w:rPr>
              <w:t>Yes</w:t>
            </w:r>
          </w:p>
        </w:tc>
        <w:tc>
          <w:tcPr>
            <w:tcW w:w="536" w:type="dxa"/>
          </w:tcPr>
          <w:p w14:paraId="2E664F05" w14:textId="79C2D762" w:rsidR="00512139" w:rsidRPr="0054386E" w:rsidRDefault="00512139" w:rsidP="00E648E3">
            <w:pPr>
              <w:jc w:val="center"/>
              <w:rPr>
                <w:b/>
                <w:smallCaps/>
              </w:rPr>
            </w:pPr>
            <w:r>
              <w:rPr>
                <w:b/>
                <w:smallCaps/>
              </w:rPr>
              <w:t>NO</w:t>
            </w:r>
          </w:p>
        </w:tc>
        <w:tc>
          <w:tcPr>
            <w:tcW w:w="2454" w:type="dxa"/>
          </w:tcPr>
          <w:p w14:paraId="25F2349B" w14:textId="37C57614" w:rsidR="00512139" w:rsidRPr="0054386E" w:rsidRDefault="00512139" w:rsidP="00E648E3">
            <w:pPr>
              <w:jc w:val="center"/>
              <w:rPr>
                <w:b/>
                <w:smallCaps/>
              </w:rPr>
            </w:pPr>
            <w:r>
              <w:rPr>
                <w:b/>
                <w:smallCaps/>
              </w:rPr>
              <w:t>NOTE</w:t>
            </w:r>
          </w:p>
        </w:tc>
      </w:tr>
      <w:tr w:rsidR="00512139" w:rsidRPr="0054386E" w14:paraId="59D35ABE" w14:textId="77777777" w:rsidTr="00512139">
        <w:tc>
          <w:tcPr>
            <w:tcW w:w="264" w:type="dxa"/>
            <w:tcBorders>
              <w:right w:val="nil"/>
            </w:tcBorders>
          </w:tcPr>
          <w:p w14:paraId="36B7FDE1" w14:textId="77777777" w:rsidR="00512139" w:rsidRPr="0054386E" w:rsidRDefault="00512139" w:rsidP="00E648E3">
            <w:pPr>
              <w:jc w:val="center"/>
              <w:rPr>
                <w:rFonts w:ascii="Arial" w:hAnsi="Arial" w:cs="Arial"/>
                <w:smallCaps/>
              </w:rPr>
            </w:pPr>
          </w:p>
        </w:tc>
        <w:tc>
          <w:tcPr>
            <w:tcW w:w="6353" w:type="dxa"/>
            <w:tcBorders>
              <w:left w:val="nil"/>
            </w:tcBorders>
          </w:tcPr>
          <w:p w14:paraId="4B9369CB" w14:textId="5C2C4052" w:rsidR="00512139" w:rsidRPr="00175A62" w:rsidRDefault="00512139" w:rsidP="00512139">
            <w:pPr>
              <w:rPr>
                <w:rFonts w:ascii="Calibri" w:hAnsi="Calibri"/>
              </w:rPr>
            </w:pPr>
            <w:r w:rsidRPr="0054386E">
              <w:rPr>
                <w:rFonts w:ascii="Calibri" w:hAnsi="Calibri"/>
              </w:rPr>
              <w:t xml:space="preserve">One (1) </w:t>
            </w:r>
            <w:r>
              <w:rPr>
                <w:rFonts w:ascii="Calibri" w:hAnsi="Calibri"/>
              </w:rPr>
              <w:t>signed completed application with all supporting documents  with signed cover sheet</w:t>
            </w:r>
          </w:p>
        </w:tc>
        <w:tc>
          <w:tcPr>
            <w:tcW w:w="535" w:type="dxa"/>
          </w:tcPr>
          <w:p w14:paraId="714E6E67" w14:textId="77777777" w:rsidR="00512139" w:rsidRPr="0054386E" w:rsidRDefault="00512139" w:rsidP="00E648E3">
            <w:pPr>
              <w:jc w:val="center"/>
              <w:rPr>
                <w:b/>
                <w:smallCaps/>
              </w:rPr>
            </w:pPr>
          </w:p>
        </w:tc>
        <w:tc>
          <w:tcPr>
            <w:tcW w:w="536" w:type="dxa"/>
          </w:tcPr>
          <w:p w14:paraId="68EE6791" w14:textId="77777777" w:rsidR="00512139" w:rsidRPr="0054386E" w:rsidRDefault="00512139" w:rsidP="00E648E3">
            <w:pPr>
              <w:jc w:val="center"/>
              <w:rPr>
                <w:b/>
                <w:smallCaps/>
              </w:rPr>
            </w:pPr>
          </w:p>
        </w:tc>
        <w:tc>
          <w:tcPr>
            <w:tcW w:w="2454" w:type="dxa"/>
          </w:tcPr>
          <w:p w14:paraId="1D081326" w14:textId="77777777" w:rsidR="00512139" w:rsidRPr="0054386E" w:rsidRDefault="00512139" w:rsidP="00E648E3">
            <w:pPr>
              <w:jc w:val="center"/>
              <w:rPr>
                <w:b/>
                <w:smallCaps/>
              </w:rPr>
            </w:pPr>
          </w:p>
        </w:tc>
      </w:tr>
      <w:tr w:rsidR="00512139" w:rsidRPr="0054386E" w14:paraId="6B7CD916" w14:textId="77777777" w:rsidTr="00512139">
        <w:tc>
          <w:tcPr>
            <w:tcW w:w="264" w:type="dxa"/>
            <w:tcBorders>
              <w:right w:val="nil"/>
            </w:tcBorders>
          </w:tcPr>
          <w:p w14:paraId="1C4CFEDF" w14:textId="77777777" w:rsidR="00512139" w:rsidRPr="0054386E" w:rsidRDefault="00512139" w:rsidP="00E648E3">
            <w:pPr>
              <w:jc w:val="center"/>
              <w:rPr>
                <w:rFonts w:ascii="Arial" w:hAnsi="Arial" w:cs="Arial"/>
                <w:smallCaps/>
              </w:rPr>
            </w:pPr>
          </w:p>
        </w:tc>
        <w:tc>
          <w:tcPr>
            <w:tcW w:w="6353" w:type="dxa"/>
            <w:tcBorders>
              <w:left w:val="nil"/>
            </w:tcBorders>
          </w:tcPr>
          <w:p w14:paraId="50DA6E4D" w14:textId="1B484ADD" w:rsidR="00512139" w:rsidRPr="00175A62" w:rsidRDefault="002A1218" w:rsidP="00512139">
            <w:pPr>
              <w:rPr>
                <w:rFonts w:ascii="Calibri" w:hAnsi="Calibri"/>
              </w:rPr>
            </w:pPr>
            <w:r>
              <w:rPr>
                <w:rFonts w:ascii="Calibri" w:hAnsi="Calibri"/>
              </w:rPr>
              <w:t xml:space="preserve">Completed </w:t>
            </w:r>
            <w:r w:rsidR="00512139">
              <w:rPr>
                <w:rFonts w:ascii="Calibri" w:hAnsi="Calibri"/>
              </w:rPr>
              <w:t xml:space="preserve">Budget Workbook  </w:t>
            </w:r>
          </w:p>
        </w:tc>
        <w:tc>
          <w:tcPr>
            <w:tcW w:w="535" w:type="dxa"/>
          </w:tcPr>
          <w:p w14:paraId="66C67023" w14:textId="77777777" w:rsidR="00512139" w:rsidRPr="0054386E" w:rsidRDefault="00512139" w:rsidP="00E648E3">
            <w:pPr>
              <w:jc w:val="center"/>
              <w:rPr>
                <w:b/>
                <w:smallCaps/>
              </w:rPr>
            </w:pPr>
          </w:p>
        </w:tc>
        <w:tc>
          <w:tcPr>
            <w:tcW w:w="536" w:type="dxa"/>
          </w:tcPr>
          <w:p w14:paraId="65C8EBB1" w14:textId="77777777" w:rsidR="00512139" w:rsidRPr="0054386E" w:rsidRDefault="00512139" w:rsidP="00E648E3">
            <w:pPr>
              <w:jc w:val="center"/>
              <w:rPr>
                <w:b/>
                <w:smallCaps/>
              </w:rPr>
            </w:pPr>
          </w:p>
        </w:tc>
        <w:tc>
          <w:tcPr>
            <w:tcW w:w="2454" w:type="dxa"/>
          </w:tcPr>
          <w:p w14:paraId="6806E49A" w14:textId="77777777" w:rsidR="00512139" w:rsidRPr="0054386E" w:rsidRDefault="00512139" w:rsidP="00E648E3">
            <w:pPr>
              <w:jc w:val="center"/>
              <w:rPr>
                <w:b/>
                <w:smallCaps/>
              </w:rPr>
            </w:pPr>
          </w:p>
        </w:tc>
      </w:tr>
      <w:tr w:rsidR="00512139" w:rsidRPr="0054386E" w14:paraId="5F088016" w14:textId="77777777" w:rsidTr="00512139">
        <w:trPr>
          <w:trHeight w:val="413"/>
        </w:trPr>
        <w:tc>
          <w:tcPr>
            <w:tcW w:w="10142" w:type="dxa"/>
            <w:gridSpan w:val="5"/>
            <w:shd w:val="clear" w:color="auto" w:fill="BFBFBF"/>
            <w:vAlign w:val="center"/>
          </w:tcPr>
          <w:p w14:paraId="72EF3D1D" w14:textId="15313844" w:rsidR="00512139" w:rsidRPr="0054386E" w:rsidRDefault="00512139" w:rsidP="00E648E3">
            <w:pPr>
              <w:rPr>
                <w:b/>
                <w:smallCaps/>
              </w:rPr>
            </w:pPr>
            <w:r w:rsidRPr="0054386E">
              <w:rPr>
                <w:rFonts w:ascii="Calibri" w:hAnsi="Calibri"/>
                <w:b/>
              </w:rPr>
              <w:t>Supporting Documents</w:t>
            </w:r>
            <w:r>
              <w:rPr>
                <w:rFonts w:ascii="Calibri" w:hAnsi="Calibri"/>
                <w:b/>
              </w:rPr>
              <w:t xml:space="preserve"> Check List</w:t>
            </w:r>
            <w:r w:rsidRPr="0054386E">
              <w:rPr>
                <w:rFonts w:ascii="Calibri" w:hAnsi="Calibri"/>
                <w:b/>
              </w:rPr>
              <w:t>:</w:t>
            </w:r>
          </w:p>
        </w:tc>
      </w:tr>
      <w:tr w:rsidR="009A30D5" w:rsidRPr="0054386E" w14:paraId="19E03833" w14:textId="77777777" w:rsidTr="00512139">
        <w:tc>
          <w:tcPr>
            <w:tcW w:w="264" w:type="dxa"/>
            <w:tcBorders>
              <w:right w:val="nil"/>
            </w:tcBorders>
          </w:tcPr>
          <w:p w14:paraId="05AA69A6" w14:textId="77777777" w:rsidR="009A30D5" w:rsidRPr="0054386E" w:rsidRDefault="009A30D5" w:rsidP="00E648E3">
            <w:pPr>
              <w:jc w:val="center"/>
              <w:rPr>
                <w:rFonts w:ascii="Arial" w:hAnsi="Arial" w:cs="Arial"/>
                <w:smallCaps/>
              </w:rPr>
            </w:pPr>
          </w:p>
        </w:tc>
        <w:tc>
          <w:tcPr>
            <w:tcW w:w="6353" w:type="dxa"/>
            <w:tcBorders>
              <w:left w:val="nil"/>
            </w:tcBorders>
          </w:tcPr>
          <w:p w14:paraId="75A3AD17" w14:textId="7EC1EFD7" w:rsidR="009A30D5" w:rsidRPr="0054386E" w:rsidRDefault="009A30D5" w:rsidP="00E648E3">
            <w:pPr>
              <w:rPr>
                <w:rFonts w:ascii="Calibri" w:hAnsi="Calibri"/>
              </w:rPr>
            </w:pPr>
            <w:r>
              <w:rPr>
                <w:rFonts w:ascii="Calibri" w:hAnsi="Calibri"/>
              </w:rPr>
              <w:t>Match Letter(s) with full 25 percent match contribution</w:t>
            </w:r>
          </w:p>
        </w:tc>
        <w:tc>
          <w:tcPr>
            <w:tcW w:w="535" w:type="dxa"/>
          </w:tcPr>
          <w:p w14:paraId="23343681" w14:textId="77777777" w:rsidR="009A30D5" w:rsidRPr="0054386E" w:rsidRDefault="009A30D5" w:rsidP="00E648E3">
            <w:pPr>
              <w:jc w:val="center"/>
              <w:rPr>
                <w:b/>
                <w:smallCaps/>
              </w:rPr>
            </w:pPr>
          </w:p>
        </w:tc>
        <w:tc>
          <w:tcPr>
            <w:tcW w:w="536" w:type="dxa"/>
          </w:tcPr>
          <w:p w14:paraId="251BC31D" w14:textId="77777777" w:rsidR="009A30D5" w:rsidRPr="0054386E" w:rsidRDefault="009A30D5" w:rsidP="00E648E3">
            <w:pPr>
              <w:jc w:val="center"/>
              <w:rPr>
                <w:b/>
                <w:smallCaps/>
              </w:rPr>
            </w:pPr>
          </w:p>
        </w:tc>
        <w:tc>
          <w:tcPr>
            <w:tcW w:w="2454" w:type="dxa"/>
          </w:tcPr>
          <w:p w14:paraId="3518F79E" w14:textId="77777777" w:rsidR="009A30D5" w:rsidRPr="0054386E" w:rsidRDefault="009A30D5" w:rsidP="00E648E3">
            <w:pPr>
              <w:jc w:val="center"/>
              <w:rPr>
                <w:b/>
                <w:smallCaps/>
              </w:rPr>
            </w:pPr>
          </w:p>
        </w:tc>
      </w:tr>
      <w:tr w:rsidR="00512139" w:rsidRPr="0054386E" w14:paraId="14E00337" w14:textId="77777777" w:rsidTr="00512139">
        <w:tc>
          <w:tcPr>
            <w:tcW w:w="264" w:type="dxa"/>
            <w:tcBorders>
              <w:right w:val="nil"/>
            </w:tcBorders>
          </w:tcPr>
          <w:p w14:paraId="6426C440" w14:textId="77777777" w:rsidR="00512139" w:rsidRPr="0054386E" w:rsidRDefault="00512139" w:rsidP="00E648E3">
            <w:pPr>
              <w:jc w:val="center"/>
              <w:rPr>
                <w:rFonts w:ascii="Arial" w:hAnsi="Arial" w:cs="Arial"/>
                <w:smallCaps/>
              </w:rPr>
            </w:pPr>
          </w:p>
        </w:tc>
        <w:tc>
          <w:tcPr>
            <w:tcW w:w="6353" w:type="dxa"/>
            <w:tcBorders>
              <w:left w:val="nil"/>
            </w:tcBorders>
          </w:tcPr>
          <w:p w14:paraId="3E43B98B" w14:textId="209348DC" w:rsidR="00512139" w:rsidRPr="0054386E" w:rsidRDefault="00512139" w:rsidP="00E648E3">
            <w:pPr>
              <w:rPr>
                <w:rFonts w:ascii="Calibri" w:hAnsi="Calibri"/>
                <w:b/>
              </w:rPr>
            </w:pPr>
            <w:r w:rsidRPr="0054386E">
              <w:rPr>
                <w:rFonts w:ascii="Calibri" w:hAnsi="Calibri"/>
              </w:rPr>
              <w:t>Conflict of Interest Questionnaire</w:t>
            </w:r>
            <w:r w:rsidRPr="0054386E">
              <w:rPr>
                <w:rFonts w:ascii="Calibri" w:hAnsi="Calibri" w:cs="Calibri"/>
                <w:color w:val="000000"/>
              </w:rPr>
              <w:t xml:space="preserve"> and Limits to Primary Religious Organizations</w:t>
            </w:r>
            <w:r w:rsidR="009A30D5">
              <w:rPr>
                <w:rFonts w:ascii="Calibri" w:hAnsi="Calibri" w:cs="Calibri"/>
                <w:color w:val="000000"/>
              </w:rPr>
              <w:t xml:space="preserve"> – signed and dated</w:t>
            </w:r>
          </w:p>
        </w:tc>
        <w:tc>
          <w:tcPr>
            <w:tcW w:w="535" w:type="dxa"/>
          </w:tcPr>
          <w:p w14:paraId="4731F1B9" w14:textId="77777777" w:rsidR="00512139" w:rsidRPr="0054386E" w:rsidRDefault="00512139" w:rsidP="00E648E3">
            <w:pPr>
              <w:jc w:val="center"/>
              <w:rPr>
                <w:b/>
                <w:smallCaps/>
              </w:rPr>
            </w:pPr>
          </w:p>
        </w:tc>
        <w:tc>
          <w:tcPr>
            <w:tcW w:w="536" w:type="dxa"/>
          </w:tcPr>
          <w:p w14:paraId="62131315" w14:textId="77777777" w:rsidR="00512139" w:rsidRPr="0054386E" w:rsidRDefault="00512139" w:rsidP="00E648E3">
            <w:pPr>
              <w:jc w:val="center"/>
              <w:rPr>
                <w:b/>
                <w:smallCaps/>
              </w:rPr>
            </w:pPr>
          </w:p>
        </w:tc>
        <w:tc>
          <w:tcPr>
            <w:tcW w:w="2454" w:type="dxa"/>
          </w:tcPr>
          <w:p w14:paraId="10CFF468" w14:textId="77777777" w:rsidR="00512139" w:rsidRPr="0054386E" w:rsidRDefault="00512139" w:rsidP="00E648E3">
            <w:pPr>
              <w:jc w:val="center"/>
              <w:rPr>
                <w:b/>
                <w:smallCaps/>
              </w:rPr>
            </w:pPr>
          </w:p>
        </w:tc>
      </w:tr>
      <w:tr w:rsidR="00512139" w:rsidRPr="0054386E" w14:paraId="6719615A" w14:textId="77777777" w:rsidTr="00512139">
        <w:tc>
          <w:tcPr>
            <w:tcW w:w="264" w:type="dxa"/>
            <w:tcBorders>
              <w:right w:val="nil"/>
            </w:tcBorders>
          </w:tcPr>
          <w:p w14:paraId="70E808C1" w14:textId="77777777" w:rsidR="00512139" w:rsidRPr="0054386E" w:rsidRDefault="00512139" w:rsidP="00E648E3">
            <w:pPr>
              <w:jc w:val="center"/>
              <w:rPr>
                <w:rFonts w:ascii="Arial" w:hAnsi="Arial" w:cs="Arial"/>
                <w:smallCaps/>
              </w:rPr>
            </w:pPr>
          </w:p>
        </w:tc>
        <w:tc>
          <w:tcPr>
            <w:tcW w:w="6353" w:type="dxa"/>
            <w:tcBorders>
              <w:left w:val="nil"/>
            </w:tcBorders>
          </w:tcPr>
          <w:p w14:paraId="10A4C1A9" w14:textId="77777777" w:rsidR="00512139" w:rsidRPr="004C49DF" w:rsidRDefault="00512139" w:rsidP="00E648E3">
            <w:pPr>
              <w:rPr>
                <w:rFonts w:ascii="Calibri" w:hAnsi="Calibri"/>
              </w:rPr>
            </w:pPr>
            <w:r w:rsidRPr="004C49DF">
              <w:rPr>
                <w:rFonts w:ascii="Calibri" w:hAnsi="Calibri"/>
              </w:rPr>
              <w:t>MOHS Fair Housing Policy and Statement of Agreement</w:t>
            </w:r>
            <w:r>
              <w:rPr>
                <w:rFonts w:ascii="Calibri" w:hAnsi="Calibri"/>
              </w:rPr>
              <w:t xml:space="preserve"> – signed and dated</w:t>
            </w:r>
          </w:p>
        </w:tc>
        <w:tc>
          <w:tcPr>
            <w:tcW w:w="535" w:type="dxa"/>
          </w:tcPr>
          <w:p w14:paraId="1BA63974" w14:textId="77777777" w:rsidR="00512139" w:rsidRPr="0054386E" w:rsidRDefault="00512139" w:rsidP="00E648E3">
            <w:pPr>
              <w:jc w:val="center"/>
              <w:rPr>
                <w:b/>
                <w:smallCaps/>
              </w:rPr>
            </w:pPr>
          </w:p>
        </w:tc>
        <w:tc>
          <w:tcPr>
            <w:tcW w:w="536" w:type="dxa"/>
          </w:tcPr>
          <w:p w14:paraId="52F6CE70" w14:textId="77777777" w:rsidR="00512139" w:rsidRPr="0054386E" w:rsidRDefault="00512139" w:rsidP="00E648E3">
            <w:pPr>
              <w:jc w:val="center"/>
              <w:rPr>
                <w:b/>
                <w:smallCaps/>
              </w:rPr>
            </w:pPr>
          </w:p>
        </w:tc>
        <w:tc>
          <w:tcPr>
            <w:tcW w:w="2454" w:type="dxa"/>
          </w:tcPr>
          <w:p w14:paraId="615A7A79" w14:textId="77777777" w:rsidR="00512139" w:rsidRPr="0054386E" w:rsidRDefault="00512139" w:rsidP="00E648E3">
            <w:pPr>
              <w:jc w:val="center"/>
              <w:rPr>
                <w:b/>
                <w:smallCaps/>
              </w:rPr>
            </w:pPr>
          </w:p>
        </w:tc>
      </w:tr>
      <w:tr w:rsidR="009A30D5" w:rsidRPr="0054386E" w14:paraId="7E45F31C" w14:textId="77777777" w:rsidTr="00512139">
        <w:tc>
          <w:tcPr>
            <w:tcW w:w="264" w:type="dxa"/>
            <w:tcBorders>
              <w:right w:val="nil"/>
            </w:tcBorders>
          </w:tcPr>
          <w:p w14:paraId="7AF59E6E" w14:textId="77777777" w:rsidR="009A30D5" w:rsidRPr="0054386E" w:rsidRDefault="009A30D5" w:rsidP="00E648E3">
            <w:pPr>
              <w:jc w:val="center"/>
              <w:rPr>
                <w:rFonts w:ascii="Arial" w:hAnsi="Arial" w:cs="Arial"/>
                <w:smallCaps/>
              </w:rPr>
            </w:pPr>
          </w:p>
        </w:tc>
        <w:tc>
          <w:tcPr>
            <w:tcW w:w="6353" w:type="dxa"/>
            <w:tcBorders>
              <w:left w:val="nil"/>
            </w:tcBorders>
          </w:tcPr>
          <w:p w14:paraId="684DD6F8" w14:textId="165C50AB" w:rsidR="009A30D5" w:rsidRPr="00FB1D85" w:rsidRDefault="009A30D5" w:rsidP="009A30D5">
            <w:pPr>
              <w:autoSpaceDE w:val="0"/>
              <w:autoSpaceDN w:val="0"/>
              <w:adjustRightInd w:val="0"/>
              <w:spacing w:after="0" w:line="240" w:lineRule="auto"/>
              <w:rPr>
                <w:rFonts w:ascii="Calibri" w:hAnsi="Calibri"/>
                <w:color w:val="000000"/>
              </w:rPr>
            </w:pPr>
            <w:r w:rsidRPr="00FB1D85">
              <w:rPr>
                <w:rFonts w:ascii="Calibri" w:hAnsi="Calibri"/>
                <w:color w:val="000000"/>
              </w:rPr>
              <w:t>Housing First Certification</w:t>
            </w:r>
            <w:r>
              <w:rPr>
                <w:rFonts w:ascii="Calibri" w:hAnsi="Calibri"/>
                <w:color w:val="000000"/>
              </w:rPr>
              <w:t xml:space="preserve"> </w:t>
            </w:r>
            <w:r>
              <w:rPr>
                <w:rFonts w:ascii="Calibri" w:hAnsi="Calibri"/>
              </w:rPr>
              <w:t>– signed and dated</w:t>
            </w:r>
          </w:p>
          <w:p w14:paraId="3BCBCA30" w14:textId="77777777" w:rsidR="009A30D5" w:rsidRPr="004C49DF" w:rsidRDefault="009A30D5" w:rsidP="00E648E3">
            <w:pPr>
              <w:rPr>
                <w:rFonts w:ascii="Calibri" w:hAnsi="Calibri"/>
              </w:rPr>
            </w:pPr>
          </w:p>
        </w:tc>
        <w:tc>
          <w:tcPr>
            <w:tcW w:w="535" w:type="dxa"/>
          </w:tcPr>
          <w:p w14:paraId="14186064" w14:textId="77777777" w:rsidR="009A30D5" w:rsidRPr="0054386E" w:rsidRDefault="009A30D5" w:rsidP="00E648E3">
            <w:pPr>
              <w:jc w:val="center"/>
              <w:rPr>
                <w:b/>
                <w:smallCaps/>
              </w:rPr>
            </w:pPr>
          </w:p>
        </w:tc>
        <w:tc>
          <w:tcPr>
            <w:tcW w:w="536" w:type="dxa"/>
          </w:tcPr>
          <w:p w14:paraId="0636A4B6" w14:textId="77777777" w:rsidR="009A30D5" w:rsidRPr="0054386E" w:rsidRDefault="009A30D5" w:rsidP="00E648E3">
            <w:pPr>
              <w:jc w:val="center"/>
              <w:rPr>
                <w:b/>
                <w:smallCaps/>
              </w:rPr>
            </w:pPr>
          </w:p>
        </w:tc>
        <w:tc>
          <w:tcPr>
            <w:tcW w:w="2454" w:type="dxa"/>
          </w:tcPr>
          <w:p w14:paraId="79599F6C" w14:textId="77777777" w:rsidR="009A30D5" w:rsidRPr="0054386E" w:rsidRDefault="009A30D5" w:rsidP="00E648E3">
            <w:pPr>
              <w:jc w:val="center"/>
              <w:rPr>
                <w:b/>
                <w:smallCaps/>
              </w:rPr>
            </w:pPr>
          </w:p>
        </w:tc>
      </w:tr>
      <w:tr w:rsidR="00512139" w:rsidRPr="0054386E" w14:paraId="31EBB35F" w14:textId="77777777" w:rsidTr="00512139">
        <w:tc>
          <w:tcPr>
            <w:tcW w:w="264" w:type="dxa"/>
            <w:tcBorders>
              <w:right w:val="nil"/>
            </w:tcBorders>
          </w:tcPr>
          <w:p w14:paraId="53B89B07" w14:textId="77777777" w:rsidR="00512139" w:rsidRPr="0054386E" w:rsidRDefault="00512139" w:rsidP="00E648E3">
            <w:pPr>
              <w:jc w:val="center"/>
              <w:rPr>
                <w:rFonts w:ascii="Arial" w:hAnsi="Arial" w:cs="Arial"/>
                <w:smallCaps/>
              </w:rPr>
            </w:pPr>
          </w:p>
        </w:tc>
        <w:tc>
          <w:tcPr>
            <w:tcW w:w="6353" w:type="dxa"/>
            <w:tcBorders>
              <w:left w:val="nil"/>
            </w:tcBorders>
          </w:tcPr>
          <w:p w14:paraId="6C203382" w14:textId="77777777" w:rsidR="00512139" w:rsidRPr="0054386E" w:rsidRDefault="00512139" w:rsidP="00E648E3">
            <w:pPr>
              <w:rPr>
                <w:rFonts w:ascii="Calibri" w:hAnsi="Calibri"/>
              </w:rPr>
            </w:pPr>
            <w:r w:rsidRPr="0054386E">
              <w:rPr>
                <w:rFonts w:ascii="Calibri" w:hAnsi="Calibri"/>
              </w:rPr>
              <w:t>Articles of Incorporation and Bylaws</w:t>
            </w:r>
          </w:p>
        </w:tc>
        <w:tc>
          <w:tcPr>
            <w:tcW w:w="535" w:type="dxa"/>
          </w:tcPr>
          <w:p w14:paraId="2A64E582" w14:textId="77777777" w:rsidR="00512139" w:rsidRPr="0054386E" w:rsidRDefault="00512139" w:rsidP="00E648E3">
            <w:pPr>
              <w:jc w:val="center"/>
              <w:rPr>
                <w:b/>
                <w:smallCaps/>
              </w:rPr>
            </w:pPr>
          </w:p>
        </w:tc>
        <w:tc>
          <w:tcPr>
            <w:tcW w:w="536" w:type="dxa"/>
          </w:tcPr>
          <w:p w14:paraId="7BC579A0" w14:textId="77777777" w:rsidR="00512139" w:rsidRPr="0054386E" w:rsidRDefault="00512139" w:rsidP="00E648E3">
            <w:pPr>
              <w:jc w:val="center"/>
              <w:rPr>
                <w:b/>
                <w:smallCaps/>
              </w:rPr>
            </w:pPr>
          </w:p>
        </w:tc>
        <w:tc>
          <w:tcPr>
            <w:tcW w:w="2454" w:type="dxa"/>
          </w:tcPr>
          <w:p w14:paraId="61D7E150" w14:textId="77777777" w:rsidR="00512139" w:rsidRPr="0054386E" w:rsidRDefault="00512139" w:rsidP="00E648E3">
            <w:pPr>
              <w:jc w:val="center"/>
              <w:rPr>
                <w:b/>
                <w:smallCaps/>
              </w:rPr>
            </w:pPr>
          </w:p>
        </w:tc>
      </w:tr>
      <w:tr w:rsidR="00512139" w:rsidRPr="0054386E" w14:paraId="4D114A8C" w14:textId="77777777" w:rsidTr="00512139">
        <w:tc>
          <w:tcPr>
            <w:tcW w:w="264" w:type="dxa"/>
            <w:tcBorders>
              <w:right w:val="nil"/>
            </w:tcBorders>
          </w:tcPr>
          <w:p w14:paraId="3A4D2046" w14:textId="77777777" w:rsidR="00512139" w:rsidRPr="0054386E" w:rsidRDefault="00512139" w:rsidP="00E648E3">
            <w:pPr>
              <w:jc w:val="center"/>
              <w:rPr>
                <w:b/>
                <w:smallCaps/>
              </w:rPr>
            </w:pPr>
          </w:p>
        </w:tc>
        <w:tc>
          <w:tcPr>
            <w:tcW w:w="6353" w:type="dxa"/>
            <w:tcBorders>
              <w:left w:val="nil"/>
            </w:tcBorders>
          </w:tcPr>
          <w:p w14:paraId="3BDBF253" w14:textId="77777777" w:rsidR="00512139" w:rsidRPr="00C54457" w:rsidRDefault="00512139" w:rsidP="00E648E3">
            <w:pPr>
              <w:autoSpaceDE w:val="0"/>
              <w:autoSpaceDN w:val="0"/>
              <w:adjustRightInd w:val="0"/>
              <w:rPr>
                <w:rFonts w:ascii="Calibri" w:hAnsi="Calibri" w:cs="Arial"/>
                <w:color w:val="000000"/>
              </w:rPr>
            </w:pPr>
            <w:r w:rsidRPr="00AC0648">
              <w:rPr>
                <w:rFonts w:ascii="Calibri" w:hAnsi="Calibri" w:cs="Arial"/>
                <w:color w:val="000000"/>
              </w:rPr>
              <w:t>Federal Tax Exemption Determination Letters</w:t>
            </w:r>
          </w:p>
        </w:tc>
        <w:tc>
          <w:tcPr>
            <w:tcW w:w="535" w:type="dxa"/>
          </w:tcPr>
          <w:p w14:paraId="7FEC2C45" w14:textId="77777777" w:rsidR="00512139" w:rsidRPr="0054386E" w:rsidRDefault="00512139" w:rsidP="00E648E3">
            <w:pPr>
              <w:jc w:val="center"/>
              <w:rPr>
                <w:b/>
                <w:smallCaps/>
              </w:rPr>
            </w:pPr>
          </w:p>
        </w:tc>
        <w:tc>
          <w:tcPr>
            <w:tcW w:w="536" w:type="dxa"/>
          </w:tcPr>
          <w:p w14:paraId="226B5645" w14:textId="77777777" w:rsidR="00512139" w:rsidRPr="0054386E" w:rsidRDefault="00512139" w:rsidP="00E648E3">
            <w:pPr>
              <w:jc w:val="center"/>
              <w:rPr>
                <w:b/>
                <w:smallCaps/>
              </w:rPr>
            </w:pPr>
          </w:p>
        </w:tc>
        <w:tc>
          <w:tcPr>
            <w:tcW w:w="2454" w:type="dxa"/>
          </w:tcPr>
          <w:p w14:paraId="0AD94AA5" w14:textId="77777777" w:rsidR="00512139" w:rsidRPr="0054386E" w:rsidRDefault="00512139" w:rsidP="00E648E3">
            <w:pPr>
              <w:jc w:val="center"/>
              <w:rPr>
                <w:b/>
                <w:smallCaps/>
              </w:rPr>
            </w:pPr>
          </w:p>
        </w:tc>
      </w:tr>
      <w:tr w:rsidR="00512139" w:rsidRPr="0054386E" w14:paraId="77A367EE" w14:textId="77777777" w:rsidTr="00512139">
        <w:tc>
          <w:tcPr>
            <w:tcW w:w="264" w:type="dxa"/>
            <w:tcBorders>
              <w:right w:val="nil"/>
            </w:tcBorders>
          </w:tcPr>
          <w:p w14:paraId="2B65B5F3" w14:textId="77777777" w:rsidR="00512139" w:rsidRPr="0054386E" w:rsidRDefault="00512139" w:rsidP="00E648E3">
            <w:pPr>
              <w:jc w:val="center"/>
              <w:rPr>
                <w:b/>
                <w:smallCaps/>
              </w:rPr>
            </w:pPr>
          </w:p>
        </w:tc>
        <w:tc>
          <w:tcPr>
            <w:tcW w:w="6353" w:type="dxa"/>
            <w:tcBorders>
              <w:left w:val="nil"/>
            </w:tcBorders>
          </w:tcPr>
          <w:p w14:paraId="780203FD" w14:textId="158C561B" w:rsidR="00512139" w:rsidRPr="0054386E" w:rsidRDefault="00512139" w:rsidP="009A30D5">
            <w:pPr>
              <w:rPr>
                <w:rFonts w:ascii="Calibri" w:hAnsi="Calibri"/>
              </w:rPr>
            </w:pPr>
            <w:r w:rsidRPr="0054386E">
              <w:rPr>
                <w:rFonts w:ascii="Calibri" w:hAnsi="Calibri"/>
              </w:rPr>
              <w:t>Certificate of Good Standing from State of Maryland</w:t>
            </w:r>
            <w:r w:rsidR="009A30D5">
              <w:rPr>
                <w:rFonts w:ascii="Calibri" w:hAnsi="Calibri"/>
              </w:rPr>
              <w:t xml:space="preserve"> between  within 30 days of application submission (dated between September 5, 2021 to October 5, 2021) </w:t>
            </w:r>
          </w:p>
        </w:tc>
        <w:tc>
          <w:tcPr>
            <w:tcW w:w="535" w:type="dxa"/>
          </w:tcPr>
          <w:p w14:paraId="00600384" w14:textId="77777777" w:rsidR="00512139" w:rsidRPr="0054386E" w:rsidRDefault="00512139" w:rsidP="00E648E3">
            <w:pPr>
              <w:jc w:val="center"/>
              <w:rPr>
                <w:b/>
                <w:smallCaps/>
              </w:rPr>
            </w:pPr>
          </w:p>
        </w:tc>
        <w:tc>
          <w:tcPr>
            <w:tcW w:w="536" w:type="dxa"/>
          </w:tcPr>
          <w:p w14:paraId="7E738324" w14:textId="77777777" w:rsidR="00512139" w:rsidRPr="0054386E" w:rsidRDefault="00512139" w:rsidP="00E648E3">
            <w:pPr>
              <w:jc w:val="center"/>
              <w:rPr>
                <w:b/>
                <w:smallCaps/>
              </w:rPr>
            </w:pPr>
          </w:p>
        </w:tc>
        <w:tc>
          <w:tcPr>
            <w:tcW w:w="2454" w:type="dxa"/>
          </w:tcPr>
          <w:p w14:paraId="307AF205" w14:textId="77777777" w:rsidR="00512139" w:rsidRPr="0054386E" w:rsidRDefault="00512139" w:rsidP="00E648E3">
            <w:pPr>
              <w:jc w:val="center"/>
              <w:rPr>
                <w:b/>
                <w:smallCaps/>
              </w:rPr>
            </w:pPr>
          </w:p>
        </w:tc>
      </w:tr>
      <w:tr w:rsidR="00512139" w:rsidRPr="0054386E" w14:paraId="180DAA81" w14:textId="77777777" w:rsidTr="00512139">
        <w:tc>
          <w:tcPr>
            <w:tcW w:w="264" w:type="dxa"/>
            <w:tcBorders>
              <w:right w:val="nil"/>
            </w:tcBorders>
          </w:tcPr>
          <w:p w14:paraId="52D7058E" w14:textId="77777777" w:rsidR="00512139" w:rsidRPr="0054386E" w:rsidRDefault="00512139" w:rsidP="00E648E3">
            <w:pPr>
              <w:jc w:val="center"/>
              <w:rPr>
                <w:b/>
                <w:smallCaps/>
              </w:rPr>
            </w:pPr>
          </w:p>
        </w:tc>
        <w:tc>
          <w:tcPr>
            <w:tcW w:w="6353" w:type="dxa"/>
            <w:tcBorders>
              <w:left w:val="nil"/>
            </w:tcBorders>
          </w:tcPr>
          <w:p w14:paraId="1DFCE83D" w14:textId="77777777" w:rsidR="00512139" w:rsidRPr="0054386E" w:rsidRDefault="00512139" w:rsidP="00E648E3">
            <w:pPr>
              <w:rPr>
                <w:rFonts w:ascii="Calibri" w:hAnsi="Calibri"/>
              </w:rPr>
            </w:pPr>
            <w:r w:rsidRPr="0054386E">
              <w:rPr>
                <w:rFonts w:ascii="Calibri" w:hAnsi="Calibri"/>
              </w:rPr>
              <w:t>Current list of Board of Directors</w:t>
            </w:r>
          </w:p>
        </w:tc>
        <w:tc>
          <w:tcPr>
            <w:tcW w:w="535" w:type="dxa"/>
          </w:tcPr>
          <w:p w14:paraId="0A6622DD" w14:textId="77777777" w:rsidR="00512139" w:rsidRPr="0054386E" w:rsidRDefault="00512139" w:rsidP="00E648E3">
            <w:pPr>
              <w:jc w:val="center"/>
              <w:rPr>
                <w:b/>
                <w:smallCaps/>
              </w:rPr>
            </w:pPr>
          </w:p>
        </w:tc>
        <w:tc>
          <w:tcPr>
            <w:tcW w:w="536" w:type="dxa"/>
          </w:tcPr>
          <w:p w14:paraId="0B541C54" w14:textId="77777777" w:rsidR="00512139" w:rsidRPr="0054386E" w:rsidRDefault="00512139" w:rsidP="00E648E3">
            <w:pPr>
              <w:jc w:val="center"/>
              <w:rPr>
                <w:b/>
                <w:smallCaps/>
              </w:rPr>
            </w:pPr>
          </w:p>
        </w:tc>
        <w:tc>
          <w:tcPr>
            <w:tcW w:w="2454" w:type="dxa"/>
          </w:tcPr>
          <w:p w14:paraId="34CF8427" w14:textId="77777777" w:rsidR="00512139" w:rsidRPr="0054386E" w:rsidRDefault="00512139" w:rsidP="00E648E3">
            <w:pPr>
              <w:jc w:val="center"/>
              <w:rPr>
                <w:b/>
                <w:smallCaps/>
              </w:rPr>
            </w:pPr>
          </w:p>
        </w:tc>
      </w:tr>
      <w:tr w:rsidR="00512139" w:rsidRPr="0054386E" w14:paraId="4BF0E7B5" w14:textId="77777777" w:rsidTr="00512139">
        <w:tc>
          <w:tcPr>
            <w:tcW w:w="264" w:type="dxa"/>
            <w:tcBorders>
              <w:right w:val="nil"/>
            </w:tcBorders>
          </w:tcPr>
          <w:p w14:paraId="5F52E4A3" w14:textId="77777777" w:rsidR="00512139" w:rsidRPr="0054386E" w:rsidRDefault="00512139" w:rsidP="00E648E3">
            <w:pPr>
              <w:jc w:val="center"/>
              <w:rPr>
                <w:b/>
                <w:smallCaps/>
              </w:rPr>
            </w:pPr>
          </w:p>
        </w:tc>
        <w:tc>
          <w:tcPr>
            <w:tcW w:w="6353" w:type="dxa"/>
            <w:tcBorders>
              <w:left w:val="nil"/>
            </w:tcBorders>
          </w:tcPr>
          <w:p w14:paraId="0A1A2FE3" w14:textId="77777777" w:rsidR="00512139" w:rsidRPr="0054386E" w:rsidRDefault="00512139" w:rsidP="00E648E3">
            <w:pPr>
              <w:rPr>
                <w:rFonts w:ascii="Calibri" w:hAnsi="Calibri"/>
              </w:rPr>
            </w:pPr>
            <w:r w:rsidRPr="00EC3588">
              <w:rPr>
                <w:rFonts w:ascii="Calibri" w:hAnsi="Calibri" w:cs="Arial"/>
                <w:color w:val="000000"/>
              </w:rPr>
              <w:t>Copies of Project’s Termination, Non-Discrimination, and Grievance Policies Provided to Clients</w:t>
            </w:r>
          </w:p>
        </w:tc>
        <w:tc>
          <w:tcPr>
            <w:tcW w:w="535" w:type="dxa"/>
          </w:tcPr>
          <w:p w14:paraId="29ABD5CF" w14:textId="77777777" w:rsidR="00512139" w:rsidRPr="0054386E" w:rsidRDefault="00512139" w:rsidP="00E648E3">
            <w:pPr>
              <w:jc w:val="center"/>
              <w:rPr>
                <w:b/>
                <w:smallCaps/>
              </w:rPr>
            </w:pPr>
          </w:p>
        </w:tc>
        <w:tc>
          <w:tcPr>
            <w:tcW w:w="536" w:type="dxa"/>
          </w:tcPr>
          <w:p w14:paraId="40361E78" w14:textId="77777777" w:rsidR="00512139" w:rsidRPr="0054386E" w:rsidRDefault="00512139" w:rsidP="00E648E3">
            <w:pPr>
              <w:jc w:val="center"/>
              <w:rPr>
                <w:b/>
                <w:smallCaps/>
              </w:rPr>
            </w:pPr>
          </w:p>
        </w:tc>
        <w:tc>
          <w:tcPr>
            <w:tcW w:w="2454" w:type="dxa"/>
          </w:tcPr>
          <w:p w14:paraId="773BCB3D" w14:textId="77777777" w:rsidR="00512139" w:rsidRPr="0054386E" w:rsidRDefault="00512139" w:rsidP="00E648E3">
            <w:pPr>
              <w:jc w:val="center"/>
              <w:rPr>
                <w:b/>
                <w:smallCaps/>
              </w:rPr>
            </w:pPr>
          </w:p>
        </w:tc>
      </w:tr>
      <w:tr w:rsidR="009A30D5" w:rsidRPr="0054386E" w14:paraId="369B86E4" w14:textId="77777777" w:rsidTr="00512139">
        <w:tc>
          <w:tcPr>
            <w:tcW w:w="264" w:type="dxa"/>
            <w:tcBorders>
              <w:right w:val="nil"/>
            </w:tcBorders>
          </w:tcPr>
          <w:p w14:paraId="1D70AF62" w14:textId="77777777" w:rsidR="009A30D5" w:rsidRPr="0054386E" w:rsidRDefault="009A30D5" w:rsidP="00E648E3">
            <w:pPr>
              <w:jc w:val="center"/>
              <w:rPr>
                <w:b/>
                <w:smallCaps/>
              </w:rPr>
            </w:pPr>
            <w:bookmarkStart w:id="12" w:name="_GoBack" w:colFirst="3" w:colLast="3"/>
          </w:p>
        </w:tc>
        <w:tc>
          <w:tcPr>
            <w:tcW w:w="6353" w:type="dxa"/>
            <w:tcBorders>
              <w:left w:val="nil"/>
            </w:tcBorders>
          </w:tcPr>
          <w:p w14:paraId="436C2332" w14:textId="0E640480" w:rsidR="009A30D5" w:rsidRDefault="009A30D5" w:rsidP="009A30D5">
            <w:pPr>
              <w:autoSpaceDE w:val="0"/>
              <w:autoSpaceDN w:val="0"/>
              <w:adjustRightInd w:val="0"/>
              <w:spacing w:after="0" w:line="240" w:lineRule="auto"/>
              <w:rPr>
                <w:rFonts w:ascii="Calibri" w:hAnsi="Calibri"/>
                <w:color w:val="000000"/>
              </w:rPr>
            </w:pPr>
            <w:r>
              <w:rPr>
                <w:rFonts w:ascii="Calibri" w:hAnsi="Calibri"/>
                <w:color w:val="000000"/>
              </w:rPr>
              <w:t>Copy of Project’s Program Policies/Rules to include client Participation Agreement/Rights and Responsibilities</w:t>
            </w:r>
          </w:p>
          <w:p w14:paraId="070503A5" w14:textId="77777777" w:rsidR="009A30D5" w:rsidRPr="00EC3588" w:rsidRDefault="009A30D5" w:rsidP="00E648E3">
            <w:pPr>
              <w:rPr>
                <w:rFonts w:ascii="Calibri" w:hAnsi="Calibri" w:cs="Arial"/>
                <w:color w:val="000000"/>
              </w:rPr>
            </w:pPr>
          </w:p>
        </w:tc>
        <w:tc>
          <w:tcPr>
            <w:tcW w:w="535" w:type="dxa"/>
          </w:tcPr>
          <w:p w14:paraId="66697787" w14:textId="77777777" w:rsidR="009A30D5" w:rsidRPr="0054386E" w:rsidRDefault="009A30D5" w:rsidP="00E648E3">
            <w:pPr>
              <w:jc w:val="center"/>
              <w:rPr>
                <w:b/>
                <w:smallCaps/>
              </w:rPr>
            </w:pPr>
          </w:p>
        </w:tc>
        <w:tc>
          <w:tcPr>
            <w:tcW w:w="536" w:type="dxa"/>
          </w:tcPr>
          <w:p w14:paraId="771B64C9" w14:textId="77777777" w:rsidR="009A30D5" w:rsidRPr="0054386E" w:rsidRDefault="009A30D5" w:rsidP="00E648E3">
            <w:pPr>
              <w:jc w:val="center"/>
              <w:rPr>
                <w:b/>
                <w:smallCaps/>
              </w:rPr>
            </w:pPr>
          </w:p>
        </w:tc>
        <w:tc>
          <w:tcPr>
            <w:tcW w:w="2454" w:type="dxa"/>
          </w:tcPr>
          <w:p w14:paraId="70F65EB0" w14:textId="77777777" w:rsidR="009A30D5" w:rsidRPr="0054386E" w:rsidRDefault="009A30D5" w:rsidP="00E648E3">
            <w:pPr>
              <w:jc w:val="center"/>
              <w:rPr>
                <w:b/>
                <w:smallCaps/>
              </w:rPr>
            </w:pPr>
          </w:p>
        </w:tc>
      </w:tr>
      <w:bookmarkEnd w:id="12"/>
      <w:tr w:rsidR="00512139" w:rsidRPr="0054386E" w14:paraId="358557EF" w14:textId="77777777" w:rsidTr="00512139">
        <w:tc>
          <w:tcPr>
            <w:tcW w:w="264" w:type="dxa"/>
            <w:tcBorders>
              <w:right w:val="nil"/>
            </w:tcBorders>
          </w:tcPr>
          <w:p w14:paraId="73F5F107" w14:textId="77777777" w:rsidR="00512139" w:rsidRPr="0054386E" w:rsidRDefault="00512139" w:rsidP="00E648E3">
            <w:pPr>
              <w:jc w:val="center"/>
              <w:rPr>
                <w:b/>
                <w:smallCaps/>
              </w:rPr>
            </w:pPr>
          </w:p>
        </w:tc>
        <w:tc>
          <w:tcPr>
            <w:tcW w:w="6353" w:type="dxa"/>
            <w:tcBorders>
              <w:left w:val="nil"/>
            </w:tcBorders>
          </w:tcPr>
          <w:p w14:paraId="3D2C976C" w14:textId="77777777" w:rsidR="00512139" w:rsidRPr="00175A62" w:rsidRDefault="00512139" w:rsidP="00E648E3">
            <w:pPr>
              <w:pStyle w:val="ListParagraph"/>
              <w:ind w:left="0"/>
              <w:rPr>
                <w:rFonts w:ascii="Calibri" w:hAnsi="Calibri" w:cs="Calibri"/>
                <w:color w:val="000000"/>
              </w:rPr>
            </w:pPr>
            <w:r w:rsidRPr="00EC3588">
              <w:rPr>
                <w:rFonts w:ascii="Calibri" w:hAnsi="Calibri" w:cs="Arial"/>
                <w:color w:val="000000"/>
              </w:rPr>
              <w:t>Project Organizational Chart (must include name, title, email, and phone for each staff position at project – this is a requirement for the grantors)</w:t>
            </w:r>
          </w:p>
        </w:tc>
        <w:tc>
          <w:tcPr>
            <w:tcW w:w="535" w:type="dxa"/>
          </w:tcPr>
          <w:p w14:paraId="72B9EA11" w14:textId="77777777" w:rsidR="00512139" w:rsidRPr="0054386E" w:rsidRDefault="00512139" w:rsidP="00E648E3">
            <w:pPr>
              <w:jc w:val="center"/>
              <w:rPr>
                <w:b/>
                <w:smallCaps/>
              </w:rPr>
            </w:pPr>
          </w:p>
        </w:tc>
        <w:tc>
          <w:tcPr>
            <w:tcW w:w="536" w:type="dxa"/>
          </w:tcPr>
          <w:p w14:paraId="6155743A" w14:textId="77777777" w:rsidR="00512139" w:rsidRPr="0054386E" w:rsidRDefault="00512139" w:rsidP="00E648E3">
            <w:pPr>
              <w:jc w:val="center"/>
              <w:rPr>
                <w:b/>
                <w:smallCaps/>
              </w:rPr>
            </w:pPr>
          </w:p>
        </w:tc>
        <w:tc>
          <w:tcPr>
            <w:tcW w:w="2454" w:type="dxa"/>
          </w:tcPr>
          <w:p w14:paraId="2658BE32" w14:textId="77777777" w:rsidR="00512139" w:rsidRPr="0054386E" w:rsidRDefault="00512139" w:rsidP="00E648E3">
            <w:pPr>
              <w:jc w:val="center"/>
              <w:rPr>
                <w:b/>
                <w:smallCaps/>
              </w:rPr>
            </w:pPr>
          </w:p>
        </w:tc>
      </w:tr>
      <w:tr w:rsidR="00512139" w:rsidRPr="0054386E" w14:paraId="44282C4B" w14:textId="77777777" w:rsidTr="00512139">
        <w:tc>
          <w:tcPr>
            <w:tcW w:w="264" w:type="dxa"/>
            <w:tcBorders>
              <w:right w:val="nil"/>
            </w:tcBorders>
          </w:tcPr>
          <w:p w14:paraId="4F6D7BB7" w14:textId="77777777" w:rsidR="00512139" w:rsidRPr="0054386E" w:rsidRDefault="00512139" w:rsidP="00E648E3">
            <w:pPr>
              <w:rPr>
                <w:b/>
                <w:smallCaps/>
              </w:rPr>
            </w:pPr>
          </w:p>
        </w:tc>
        <w:tc>
          <w:tcPr>
            <w:tcW w:w="6353" w:type="dxa"/>
            <w:tcBorders>
              <w:left w:val="nil"/>
            </w:tcBorders>
          </w:tcPr>
          <w:p w14:paraId="36300581" w14:textId="48AA7AC6" w:rsidR="00512139" w:rsidRPr="00175A62" w:rsidRDefault="00512139" w:rsidP="00E648E3">
            <w:pPr>
              <w:autoSpaceDE w:val="0"/>
              <w:autoSpaceDN w:val="0"/>
              <w:adjustRightInd w:val="0"/>
              <w:rPr>
                <w:rFonts w:ascii="Calibri" w:hAnsi="Calibri" w:cs="Calibri"/>
                <w:color w:val="000000"/>
              </w:rPr>
            </w:pPr>
            <w:r w:rsidRPr="00175A62">
              <w:rPr>
                <w:rFonts w:ascii="Calibri" w:hAnsi="Calibri" w:cs="Calibri"/>
                <w:color w:val="000000"/>
              </w:rPr>
              <w:t xml:space="preserve">Proof of </w:t>
            </w:r>
            <w:r w:rsidR="009A30D5">
              <w:rPr>
                <w:rFonts w:ascii="Calibri" w:hAnsi="Calibri" w:cs="Calibri"/>
                <w:color w:val="000000"/>
              </w:rPr>
              <w:t>Ownership or Lease Agreement (if housing will be provided at site-based location)</w:t>
            </w:r>
          </w:p>
        </w:tc>
        <w:tc>
          <w:tcPr>
            <w:tcW w:w="535" w:type="dxa"/>
          </w:tcPr>
          <w:p w14:paraId="6B500086" w14:textId="77777777" w:rsidR="00512139" w:rsidRPr="0054386E" w:rsidRDefault="00512139" w:rsidP="00E648E3">
            <w:pPr>
              <w:jc w:val="center"/>
              <w:rPr>
                <w:b/>
                <w:smallCaps/>
              </w:rPr>
            </w:pPr>
          </w:p>
        </w:tc>
        <w:tc>
          <w:tcPr>
            <w:tcW w:w="536" w:type="dxa"/>
          </w:tcPr>
          <w:p w14:paraId="77310CA3" w14:textId="77777777" w:rsidR="00512139" w:rsidRPr="0054386E" w:rsidRDefault="00512139" w:rsidP="00E648E3">
            <w:pPr>
              <w:jc w:val="center"/>
              <w:rPr>
                <w:b/>
                <w:smallCaps/>
              </w:rPr>
            </w:pPr>
          </w:p>
        </w:tc>
        <w:tc>
          <w:tcPr>
            <w:tcW w:w="2454" w:type="dxa"/>
          </w:tcPr>
          <w:p w14:paraId="2FBEC213" w14:textId="77777777" w:rsidR="00512139" w:rsidRPr="0054386E" w:rsidRDefault="00512139" w:rsidP="00E648E3">
            <w:pPr>
              <w:jc w:val="center"/>
              <w:rPr>
                <w:b/>
                <w:smallCaps/>
              </w:rPr>
            </w:pPr>
          </w:p>
        </w:tc>
      </w:tr>
      <w:tr w:rsidR="00512139" w:rsidRPr="0054386E" w14:paraId="6B5A1E55" w14:textId="77777777" w:rsidTr="00512139">
        <w:tc>
          <w:tcPr>
            <w:tcW w:w="264" w:type="dxa"/>
            <w:tcBorders>
              <w:right w:val="nil"/>
            </w:tcBorders>
          </w:tcPr>
          <w:p w14:paraId="61AC6D87" w14:textId="77777777" w:rsidR="00512139" w:rsidRPr="0054386E" w:rsidRDefault="00512139" w:rsidP="00E648E3">
            <w:pPr>
              <w:rPr>
                <w:b/>
                <w:smallCaps/>
              </w:rPr>
            </w:pPr>
          </w:p>
        </w:tc>
        <w:tc>
          <w:tcPr>
            <w:tcW w:w="6353" w:type="dxa"/>
            <w:tcBorders>
              <w:left w:val="nil"/>
            </w:tcBorders>
          </w:tcPr>
          <w:p w14:paraId="1D456A19" w14:textId="33D52EF1" w:rsidR="00512139" w:rsidRDefault="009A30D5" w:rsidP="009A30D5">
            <w:pPr>
              <w:rPr>
                <w:rFonts w:ascii="Calibri" w:hAnsi="Calibri" w:cs="Calibri"/>
                <w:color w:val="000000"/>
              </w:rPr>
            </w:pPr>
            <w:r>
              <w:rPr>
                <w:rFonts w:ascii="Calibri" w:hAnsi="Calibri" w:cs="Calibri"/>
                <w:color w:val="000000"/>
              </w:rPr>
              <w:t>Single Audit or Independent Financial Audits for the most recent 2 years.</w:t>
            </w:r>
          </w:p>
          <w:p w14:paraId="2EF2B500" w14:textId="653E0EE5" w:rsidR="009A30D5" w:rsidRPr="00175A62" w:rsidRDefault="009A30D5" w:rsidP="009A30D5">
            <w:pPr>
              <w:rPr>
                <w:rFonts w:ascii="Calibri" w:hAnsi="Calibri" w:cs="Calibri"/>
                <w:color w:val="000000"/>
              </w:rPr>
            </w:pPr>
            <w:r>
              <w:t>Also, project recipients who expend $750,000 or more in 1 year in federal awards must have a single or program-specific audit for that year in accordance with the provisions of 2 CFR part 200, subpart F.</w:t>
            </w:r>
          </w:p>
        </w:tc>
        <w:tc>
          <w:tcPr>
            <w:tcW w:w="535" w:type="dxa"/>
          </w:tcPr>
          <w:p w14:paraId="30169C7D" w14:textId="77777777" w:rsidR="00512139" w:rsidRPr="0054386E" w:rsidRDefault="00512139" w:rsidP="00E648E3">
            <w:pPr>
              <w:jc w:val="center"/>
              <w:rPr>
                <w:b/>
                <w:smallCaps/>
              </w:rPr>
            </w:pPr>
          </w:p>
        </w:tc>
        <w:tc>
          <w:tcPr>
            <w:tcW w:w="536" w:type="dxa"/>
          </w:tcPr>
          <w:p w14:paraId="6E7E38EE" w14:textId="77777777" w:rsidR="00512139" w:rsidRPr="0054386E" w:rsidRDefault="00512139" w:rsidP="00E648E3">
            <w:pPr>
              <w:jc w:val="center"/>
              <w:rPr>
                <w:b/>
                <w:smallCaps/>
              </w:rPr>
            </w:pPr>
          </w:p>
        </w:tc>
        <w:tc>
          <w:tcPr>
            <w:tcW w:w="2454" w:type="dxa"/>
          </w:tcPr>
          <w:p w14:paraId="7B5AF446" w14:textId="77777777" w:rsidR="00512139" w:rsidRPr="0054386E" w:rsidRDefault="00512139" w:rsidP="00E648E3">
            <w:pPr>
              <w:jc w:val="center"/>
              <w:rPr>
                <w:b/>
                <w:smallCaps/>
              </w:rPr>
            </w:pPr>
          </w:p>
        </w:tc>
      </w:tr>
      <w:tr w:rsidR="001B3DD7" w:rsidRPr="0054386E" w14:paraId="36576E6E" w14:textId="77777777" w:rsidTr="001B3DD7">
        <w:tc>
          <w:tcPr>
            <w:tcW w:w="264" w:type="dxa"/>
            <w:tcBorders>
              <w:right w:val="nil"/>
            </w:tcBorders>
            <w:shd w:val="clear" w:color="auto" w:fill="D9D9D9" w:themeFill="background1" w:themeFillShade="D9"/>
          </w:tcPr>
          <w:p w14:paraId="3DAA2ADF" w14:textId="77777777" w:rsidR="001B3DD7" w:rsidRPr="0054386E" w:rsidRDefault="001B3DD7" w:rsidP="00E648E3">
            <w:pPr>
              <w:rPr>
                <w:b/>
                <w:smallCaps/>
              </w:rPr>
            </w:pPr>
          </w:p>
        </w:tc>
        <w:tc>
          <w:tcPr>
            <w:tcW w:w="9878" w:type="dxa"/>
            <w:gridSpan w:val="4"/>
            <w:tcBorders>
              <w:left w:val="nil"/>
            </w:tcBorders>
            <w:shd w:val="clear" w:color="auto" w:fill="D9D9D9" w:themeFill="background1" w:themeFillShade="D9"/>
          </w:tcPr>
          <w:p w14:paraId="23560701" w14:textId="2D7E51E6" w:rsidR="001B3DD7" w:rsidRPr="0054386E" w:rsidRDefault="001B3DD7" w:rsidP="001B3DD7">
            <w:pPr>
              <w:rPr>
                <w:b/>
                <w:smallCaps/>
              </w:rPr>
            </w:pPr>
            <w:r>
              <w:rPr>
                <w:rFonts w:ascii="Calibri" w:hAnsi="Calibri"/>
                <w:b/>
              </w:rPr>
              <w:t>CoC Threshold</w:t>
            </w:r>
            <w:r w:rsidRPr="0054386E">
              <w:rPr>
                <w:rFonts w:ascii="Calibri" w:hAnsi="Calibri"/>
                <w:b/>
              </w:rPr>
              <w:t>:</w:t>
            </w:r>
            <w:r w:rsidR="00BC6590">
              <w:rPr>
                <w:rFonts w:ascii="Calibri" w:hAnsi="Calibri"/>
                <w:b/>
              </w:rPr>
              <w:t xml:space="preserve"> (first 5 are required)</w:t>
            </w:r>
          </w:p>
        </w:tc>
      </w:tr>
      <w:tr w:rsidR="001B3DD7" w:rsidRPr="0054386E" w14:paraId="19C17828" w14:textId="77777777" w:rsidTr="00512139">
        <w:tc>
          <w:tcPr>
            <w:tcW w:w="264" w:type="dxa"/>
            <w:tcBorders>
              <w:right w:val="nil"/>
            </w:tcBorders>
          </w:tcPr>
          <w:p w14:paraId="09B85345" w14:textId="77777777" w:rsidR="001B3DD7" w:rsidRPr="0054386E" w:rsidRDefault="001B3DD7" w:rsidP="00E648E3">
            <w:pPr>
              <w:rPr>
                <w:b/>
                <w:smallCaps/>
              </w:rPr>
            </w:pPr>
          </w:p>
        </w:tc>
        <w:tc>
          <w:tcPr>
            <w:tcW w:w="6353" w:type="dxa"/>
            <w:tcBorders>
              <w:left w:val="nil"/>
            </w:tcBorders>
          </w:tcPr>
          <w:p w14:paraId="7F5F34FC" w14:textId="6D8328A1" w:rsidR="001B3DD7" w:rsidRDefault="001B3DD7" w:rsidP="009A30D5">
            <w:pPr>
              <w:rPr>
                <w:rFonts w:ascii="Calibri" w:hAnsi="Calibri" w:cs="Calibri"/>
                <w:color w:val="000000"/>
              </w:rPr>
            </w:pPr>
            <w:r w:rsidRPr="001B3DD7">
              <w:rPr>
                <w:rFonts w:ascii="Calibri" w:hAnsi="Calibri" w:cs="Calibri"/>
                <w:color w:val="000000"/>
              </w:rPr>
              <w:t>Coordinated Entry Participation</w:t>
            </w:r>
            <w:r>
              <w:rPr>
                <w:rFonts w:ascii="Calibri" w:hAnsi="Calibri" w:cs="Calibri"/>
                <w:color w:val="000000"/>
              </w:rPr>
              <w:t xml:space="preserve"> (if not participating, commitment to participate)</w:t>
            </w:r>
          </w:p>
        </w:tc>
        <w:tc>
          <w:tcPr>
            <w:tcW w:w="535" w:type="dxa"/>
          </w:tcPr>
          <w:p w14:paraId="0280AD39" w14:textId="77777777" w:rsidR="001B3DD7" w:rsidRPr="0054386E" w:rsidRDefault="001B3DD7" w:rsidP="00E648E3">
            <w:pPr>
              <w:jc w:val="center"/>
              <w:rPr>
                <w:b/>
                <w:smallCaps/>
              </w:rPr>
            </w:pPr>
          </w:p>
        </w:tc>
        <w:tc>
          <w:tcPr>
            <w:tcW w:w="536" w:type="dxa"/>
          </w:tcPr>
          <w:p w14:paraId="1D8218FC" w14:textId="77777777" w:rsidR="001B3DD7" w:rsidRPr="0054386E" w:rsidRDefault="001B3DD7" w:rsidP="00E648E3">
            <w:pPr>
              <w:jc w:val="center"/>
              <w:rPr>
                <w:b/>
                <w:smallCaps/>
              </w:rPr>
            </w:pPr>
          </w:p>
        </w:tc>
        <w:tc>
          <w:tcPr>
            <w:tcW w:w="2454" w:type="dxa"/>
          </w:tcPr>
          <w:p w14:paraId="230534A6" w14:textId="77777777" w:rsidR="001B3DD7" w:rsidRPr="0054386E" w:rsidRDefault="001B3DD7" w:rsidP="00E648E3">
            <w:pPr>
              <w:jc w:val="center"/>
              <w:rPr>
                <w:b/>
                <w:smallCaps/>
              </w:rPr>
            </w:pPr>
          </w:p>
        </w:tc>
      </w:tr>
      <w:tr w:rsidR="001B3DD7" w:rsidRPr="0054386E" w14:paraId="43C451D2" w14:textId="77777777" w:rsidTr="00512139">
        <w:tc>
          <w:tcPr>
            <w:tcW w:w="264" w:type="dxa"/>
            <w:tcBorders>
              <w:right w:val="nil"/>
            </w:tcBorders>
          </w:tcPr>
          <w:p w14:paraId="66A0239A" w14:textId="77777777" w:rsidR="001B3DD7" w:rsidRPr="0054386E" w:rsidRDefault="001B3DD7" w:rsidP="00E648E3">
            <w:pPr>
              <w:rPr>
                <w:b/>
                <w:smallCaps/>
              </w:rPr>
            </w:pPr>
          </w:p>
        </w:tc>
        <w:tc>
          <w:tcPr>
            <w:tcW w:w="6353" w:type="dxa"/>
            <w:tcBorders>
              <w:left w:val="nil"/>
            </w:tcBorders>
          </w:tcPr>
          <w:p w14:paraId="2882C3A8" w14:textId="30273230" w:rsidR="001B3DD7" w:rsidRPr="001B3DD7" w:rsidRDefault="00BC6590" w:rsidP="009A30D5">
            <w:pPr>
              <w:rPr>
                <w:rFonts w:ascii="Calibri" w:hAnsi="Calibri" w:cs="Calibri"/>
                <w:color w:val="000000"/>
              </w:rPr>
            </w:pPr>
            <w:r>
              <w:rPr>
                <w:rFonts w:ascii="Calibri" w:hAnsi="Calibri" w:cs="Calibri"/>
                <w:color w:val="000000"/>
              </w:rPr>
              <w:t xml:space="preserve">Commitment to </w:t>
            </w:r>
            <w:r w:rsidR="001B3DD7">
              <w:rPr>
                <w:rFonts w:ascii="Calibri" w:hAnsi="Calibri" w:cs="Calibri"/>
                <w:color w:val="000000"/>
              </w:rPr>
              <w:t>Housing First</w:t>
            </w:r>
          </w:p>
        </w:tc>
        <w:tc>
          <w:tcPr>
            <w:tcW w:w="535" w:type="dxa"/>
          </w:tcPr>
          <w:p w14:paraId="3B98CF69" w14:textId="77777777" w:rsidR="001B3DD7" w:rsidRPr="0054386E" w:rsidRDefault="001B3DD7" w:rsidP="00E648E3">
            <w:pPr>
              <w:jc w:val="center"/>
              <w:rPr>
                <w:b/>
                <w:smallCaps/>
              </w:rPr>
            </w:pPr>
          </w:p>
        </w:tc>
        <w:tc>
          <w:tcPr>
            <w:tcW w:w="536" w:type="dxa"/>
          </w:tcPr>
          <w:p w14:paraId="7059BEA4" w14:textId="77777777" w:rsidR="001B3DD7" w:rsidRPr="0054386E" w:rsidRDefault="001B3DD7" w:rsidP="00E648E3">
            <w:pPr>
              <w:jc w:val="center"/>
              <w:rPr>
                <w:b/>
                <w:smallCaps/>
              </w:rPr>
            </w:pPr>
          </w:p>
        </w:tc>
        <w:tc>
          <w:tcPr>
            <w:tcW w:w="2454" w:type="dxa"/>
          </w:tcPr>
          <w:p w14:paraId="3DF38F11" w14:textId="77777777" w:rsidR="001B3DD7" w:rsidRPr="0054386E" w:rsidRDefault="001B3DD7" w:rsidP="00E648E3">
            <w:pPr>
              <w:jc w:val="center"/>
              <w:rPr>
                <w:b/>
                <w:smallCaps/>
              </w:rPr>
            </w:pPr>
          </w:p>
        </w:tc>
      </w:tr>
      <w:tr w:rsidR="001B3DD7" w:rsidRPr="0054386E" w14:paraId="2AFA1B92" w14:textId="77777777" w:rsidTr="00512139">
        <w:tc>
          <w:tcPr>
            <w:tcW w:w="264" w:type="dxa"/>
            <w:tcBorders>
              <w:right w:val="nil"/>
            </w:tcBorders>
          </w:tcPr>
          <w:p w14:paraId="5B6FC1F4" w14:textId="77777777" w:rsidR="001B3DD7" w:rsidRPr="0054386E" w:rsidRDefault="001B3DD7" w:rsidP="00E648E3">
            <w:pPr>
              <w:rPr>
                <w:b/>
                <w:smallCaps/>
              </w:rPr>
            </w:pPr>
          </w:p>
        </w:tc>
        <w:tc>
          <w:tcPr>
            <w:tcW w:w="6353" w:type="dxa"/>
            <w:tcBorders>
              <w:left w:val="nil"/>
            </w:tcBorders>
          </w:tcPr>
          <w:p w14:paraId="6970A73F" w14:textId="10E204CA" w:rsidR="001B3DD7" w:rsidRPr="001B3DD7" w:rsidRDefault="00BC6590" w:rsidP="009A30D5">
            <w:pPr>
              <w:rPr>
                <w:rFonts w:ascii="Calibri" w:hAnsi="Calibri" w:cs="Calibri"/>
                <w:color w:val="000000"/>
              </w:rPr>
            </w:pPr>
            <w:r>
              <w:rPr>
                <w:rFonts w:ascii="Calibri" w:hAnsi="Calibri" w:cs="Calibri"/>
                <w:color w:val="000000"/>
              </w:rPr>
              <w:t>Documented secured minimum match</w:t>
            </w:r>
          </w:p>
        </w:tc>
        <w:tc>
          <w:tcPr>
            <w:tcW w:w="535" w:type="dxa"/>
          </w:tcPr>
          <w:p w14:paraId="21CD1486" w14:textId="77777777" w:rsidR="001B3DD7" w:rsidRPr="0054386E" w:rsidRDefault="001B3DD7" w:rsidP="00E648E3">
            <w:pPr>
              <w:jc w:val="center"/>
              <w:rPr>
                <w:b/>
                <w:smallCaps/>
              </w:rPr>
            </w:pPr>
          </w:p>
        </w:tc>
        <w:tc>
          <w:tcPr>
            <w:tcW w:w="536" w:type="dxa"/>
          </w:tcPr>
          <w:p w14:paraId="53991D17" w14:textId="77777777" w:rsidR="001B3DD7" w:rsidRPr="0054386E" w:rsidRDefault="001B3DD7" w:rsidP="00E648E3">
            <w:pPr>
              <w:jc w:val="center"/>
              <w:rPr>
                <w:b/>
                <w:smallCaps/>
              </w:rPr>
            </w:pPr>
          </w:p>
        </w:tc>
        <w:tc>
          <w:tcPr>
            <w:tcW w:w="2454" w:type="dxa"/>
          </w:tcPr>
          <w:p w14:paraId="33FDCEFA" w14:textId="77777777" w:rsidR="001B3DD7" w:rsidRPr="0054386E" w:rsidRDefault="001B3DD7" w:rsidP="00E648E3">
            <w:pPr>
              <w:jc w:val="center"/>
              <w:rPr>
                <w:b/>
                <w:smallCaps/>
              </w:rPr>
            </w:pPr>
          </w:p>
        </w:tc>
      </w:tr>
      <w:tr w:rsidR="001B3DD7" w:rsidRPr="0054386E" w14:paraId="377AE7C3" w14:textId="77777777" w:rsidTr="00512139">
        <w:tc>
          <w:tcPr>
            <w:tcW w:w="264" w:type="dxa"/>
            <w:tcBorders>
              <w:right w:val="nil"/>
            </w:tcBorders>
          </w:tcPr>
          <w:p w14:paraId="58008635" w14:textId="77777777" w:rsidR="001B3DD7" w:rsidRPr="0054386E" w:rsidRDefault="001B3DD7" w:rsidP="00E648E3">
            <w:pPr>
              <w:rPr>
                <w:b/>
                <w:smallCaps/>
              </w:rPr>
            </w:pPr>
          </w:p>
        </w:tc>
        <w:tc>
          <w:tcPr>
            <w:tcW w:w="6353" w:type="dxa"/>
            <w:tcBorders>
              <w:left w:val="nil"/>
            </w:tcBorders>
          </w:tcPr>
          <w:p w14:paraId="272974C0" w14:textId="718BFB94" w:rsidR="001B3DD7" w:rsidRPr="001B3DD7" w:rsidRDefault="00BC6590" w:rsidP="009A30D5">
            <w:pPr>
              <w:rPr>
                <w:rFonts w:ascii="Calibri" w:hAnsi="Calibri" w:cs="Calibri"/>
                <w:color w:val="000000"/>
              </w:rPr>
            </w:pPr>
            <w:r w:rsidRPr="00BC6590">
              <w:rPr>
                <w:rFonts w:ascii="Calibri" w:hAnsi="Calibri" w:cs="Calibri"/>
                <w:color w:val="000000"/>
              </w:rPr>
              <w:t>Project has reasonable costs per permanent housing exit, as defined locally</w:t>
            </w:r>
          </w:p>
        </w:tc>
        <w:tc>
          <w:tcPr>
            <w:tcW w:w="535" w:type="dxa"/>
          </w:tcPr>
          <w:p w14:paraId="7C70A6E3" w14:textId="77777777" w:rsidR="001B3DD7" w:rsidRPr="0054386E" w:rsidRDefault="001B3DD7" w:rsidP="00E648E3">
            <w:pPr>
              <w:jc w:val="center"/>
              <w:rPr>
                <w:b/>
                <w:smallCaps/>
              </w:rPr>
            </w:pPr>
          </w:p>
        </w:tc>
        <w:tc>
          <w:tcPr>
            <w:tcW w:w="536" w:type="dxa"/>
          </w:tcPr>
          <w:p w14:paraId="08BF5B10" w14:textId="77777777" w:rsidR="001B3DD7" w:rsidRPr="0054386E" w:rsidRDefault="001B3DD7" w:rsidP="00E648E3">
            <w:pPr>
              <w:jc w:val="center"/>
              <w:rPr>
                <w:b/>
                <w:smallCaps/>
              </w:rPr>
            </w:pPr>
          </w:p>
        </w:tc>
        <w:tc>
          <w:tcPr>
            <w:tcW w:w="2454" w:type="dxa"/>
          </w:tcPr>
          <w:p w14:paraId="30152D62" w14:textId="77777777" w:rsidR="001B3DD7" w:rsidRPr="0054386E" w:rsidRDefault="001B3DD7" w:rsidP="00E648E3">
            <w:pPr>
              <w:jc w:val="center"/>
              <w:rPr>
                <w:b/>
                <w:smallCaps/>
              </w:rPr>
            </w:pPr>
          </w:p>
        </w:tc>
      </w:tr>
      <w:tr w:rsidR="00BC6590" w:rsidRPr="0054386E" w14:paraId="4E1408D0" w14:textId="77777777" w:rsidTr="00512139">
        <w:tc>
          <w:tcPr>
            <w:tcW w:w="264" w:type="dxa"/>
            <w:tcBorders>
              <w:right w:val="nil"/>
            </w:tcBorders>
          </w:tcPr>
          <w:p w14:paraId="6A6B32C5" w14:textId="77777777" w:rsidR="00BC6590" w:rsidRPr="0054386E" w:rsidRDefault="00BC6590" w:rsidP="00E648E3">
            <w:pPr>
              <w:rPr>
                <w:b/>
                <w:smallCaps/>
              </w:rPr>
            </w:pPr>
          </w:p>
        </w:tc>
        <w:tc>
          <w:tcPr>
            <w:tcW w:w="6353" w:type="dxa"/>
            <w:tcBorders>
              <w:left w:val="nil"/>
            </w:tcBorders>
          </w:tcPr>
          <w:p w14:paraId="2D87A475" w14:textId="413BF9A9" w:rsidR="00BC6590" w:rsidRPr="00BC6590" w:rsidRDefault="00BC6590" w:rsidP="009A30D5">
            <w:pPr>
              <w:rPr>
                <w:rFonts w:ascii="Calibri" w:hAnsi="Calibri" w:cs="Calibri"/>
                <w:color w:val="000000"/>
              </w:rPr>
            </w:pPr>
            <w:r w:rsidRPr="00BC6590">
              <w:rPr>
                <w:rFonts w:ascii="Calibri" w:hAnsi="Calibri" w:cs="Calibri"/>
                <w:color w:val="000000"/>
              </w:rPr>
              <w:t>Project is financially feasible</w:t>
            </w:r>
          </w:p>
        </w:tc>
        <w:tc>
          <w:tcPr>
            <w:tcW w:w="535" w:type="dxa"/>
          </w:tcPr>
          <w:p w14:paraId="47BCDDC4" w14:textId="77777777" w:rsidR="00BC6590" w:rsidRPr="0054386E" w:rsidRDefault="00BC6590" w:rsidP="00E648E3">
            <w:pPr>
              <w:jc w:val="center"/>
              <w:rPr>
                <w:b/>
                <w:smallCaps/>
              </w:rPr>
            </w:pPr>
          </w:p>
        </w:tc>
        <w:tc>
          <w:tcPr>
            <w:tcW w:w="536" w:type="dxa"/>
          </w:tcPr>
          <w:p w14:paraId="33948A10" w14:textId="77777777" w:rsidR="00BC6590" w:rsidRPr="0054386E" w:rsidRDefault="00BC6590" w:rsidP="00E648E3">
            <w:pPr>
              <w:jc w:val="center"/>
              <w:rPr>
                <w:b/>
                <w:smallCaps/>
              </w:rPr>
            </w:pPr>
          </w:p>
        </w:tc>
        <w:tc>
          <w:tcPr>
            <w:tcW w:w="2454" w:type="dxa"/>
          </w:tcPr>
          <w:p w14:paraId="648143D4" w14:textId="77777777" w:rsidR="00BC6590" w:rsidRPr="0054386E" w:rsidRDefault="00BC6590" w:rsidP="00E648E3">
            <w:pPr>
              <w:jc w:val="center"/>
              <w:rPr>
                <w:b/>
                <w:smallCaps/>
              </w:rPr>
            </w:pPr>
          </w:p>
        </w:tc>
      </w:tr>
      <w:tr w:rsidR="00BC6590" w:rsidRPr="0054386E" w14:paraId="6C69821D" w14:textId="77777777" w:rsidTr="00512139">
        <w:tc>
          <w:tcPr>
            <w:tcW w:w="264" w:type="dxa"/>
            <w:tcBorders>
              <w:right w:val="nil"/>
            </w:tcBorders>
          </w:tcPr>
          <w:p w14:paraId="71A2E382" w14:textId="77777777" w:rsidR="00BC6590" w:rsidRPr="0054386E" w:rsidRDefault="00BC6590" w:rsidP="00E648E3">
            <w:pPr>
              <w:rPr>
                <w:b/>
                <w:smallCaps/>
              </w:rPr>
            </w:pPr>
          </w:p>
        </w:tc>
        <w:tc>
          <w:tcPr>
            <w:tcW w:w="6353" w:type="dxa"/>
            <w:tcBorders>
              <w:left w:val="nil"/>
            </w:tcBorders>
          </w:tcPr>
          <w:p w14:paraId="10FEEB2A" w14:textId="2DA368A4" w:rsidR="00BC6590" w:rsidRPr="00BC6590" w:rsidRDefault="00BC6590" w:rsidP="009A30D5">
            <w:pPr>
              <w:rPr>
                <w:rFonts w:ascii="Calibri" w:hAnsi="Calibri" w:cs="Calibri"/>
                <w:color w:val="000000"/>
              </w:rPr>
            </w:pPr>
            <w:r w:rsidRPr="00BC6590">
              <w:rPr>
                <w:rFonts w:ascii="Calibri" w:hAnsi="Calibri" w:cs="Calibri"/>
                <w:color w:val="000000"/>
              </w:rPr>
              <w:t>Applicant is active CoC participant</w:t>
            </w:r>
            <w:r>
              <w:rPr>
                <w:rFonts w:ascii="Calibri" w:hAnsi="Calibri" w:cs="Calibri"/>
                <w:color w:val="000000"/>
              </w:rPr>
              <w:t xml:space="preserve"> (or commitment to participate)</w:t>
            </w:r>
          </w:p>
        </w:tc>
        <w:tc>
          <w:tcPr>
            <w:tcW w:w="535" w:type="dxa"/>
          </w:tcPr>
          <w:p w14:paraId="1E906454" w14:textId="77777777" w:rsidR="00BC6590" w:rsidRPr="0054386E" w:rsidRDefault="00BC6590" w:rsidP="00E648E3">
            <w:pPr>
              <w:jc w:val="center"/>
              <w:rPr>
                <w:b/>
                <w:smallCaps/>
              </w:rPr>
            </w:pPr>
          </w:p>
        </w:tc>
        <w:tc>
          <w:tcPr>
            <w:tcW w:w="536" w:type="dxa"/>
          </w:tcPr>
          <w:p w14:paraId="2465BB97" w14:textId="77777777" w:rsidR="00BC6590" w:rsidRPr="0054386E" w:rsidRDefault="00BC6590" w:rsidP="00E648E3">
            <w:pPr>
              <w:jc w:val="center"/>
              <w:rPr>
                <w:b/>
                <w:smallCaps/>
              </w:rPr>
            </w:pPr>
          </w:p>
        </w:tc>
        <w:tc>
          <w:tcPr>
            <w:tcW w:w="2454" w:type="dxa"/>
          </w:tcPr>
          <w:p w14:paraId="6DDA57DC" w14:textId="77777777" w:rsidR="00BC6590" w:rsidRPr="0054386E" w:rsidRDefault="00BC6590" w:rsidP="00E648E3">
            <w:pPr>
              <w:jc w:val="center"/>
              <w:rPr>
                <w:b/>
                <w:smallCaps/>
              </w:rPr>
            </w:pPr>
          </w:p>
        </w:tc>
      </w:tr>
      <w:tr w:rsidR="00BC6590" w:rsidRPr="0054386E" w14:paraId="5FF952F9" w14:textId="77777777" w:rsidTr="00512139">
        <w:tc>
          <w:tcPr>
            <w:tcW w:w="264" w:type="dxa"/>
            <w:tcBorders>
              <w:right w:val="nil"/>
            </w:tcBorders>
          </w:tcPr>
          <w:p w14:paraId="26B181A8" w14:textId="77777777" w:rsidR="00BC6590" w:rsidRPr="0054386E" w:rsidRDefault="00BC6590" w:rsidP="00E648E3">
            <w:pPr>
              <w:rPr>
                <w:b/>
                <w:smallCaps/>
              </w:rPr>
            </w:pPr>
          </w:p>
        </w:tc>
        <w:tc>
          <w:tcPr>
            <w:tcW w:w="6353" w:type="dxa"/>
            <w:tcBorders>
              <w:left w:val="nil"/>
            </w:tcBorders>
          </w:tcPr>
          <w:p w14:paraId="02C7CBE6" w14:textId="4D990B23" w:rsidR="00BC6590" w:rsidRPr="00BC6590" w:rsidRDefault="00BC6590" w:rsidP="009A30D5">
            <w:pPr>
              <w:rPr>
                <w:rFonts w:ascii="Calibri" w:hAnsi="Calibri" w:cs="Calibri"/>
                <w:color w:val="000000"/>
              </w:rPr>
            </w:pPr>
            <w:r w:rsidRPr="00BC6590">
              <w:rPr>
                <w:rFonts w:ascii="Calibri" w:hAnsi="Calibri" w:cs="Calibri"/>
                <w:color w:val="000000"/>
              </w:rPr>
              <w:t>Application is complete and data are consistent</w:t>
            </w:r>
          </w:p>
        </w:tc>
        <w:tc>
          <w:tcPr>
            <w:tcW w:w="535" w:type="dxa"/>
          </w:tcPr>
          <w:p w14:paraId="45E5DD11" w14:textId="77777777" w:rsidR="00BC6590" w:rsidRPr="0054386E" w:rsidRDefault="00BC6590" w:rsidP="00E648E3">
            <w:pPr>
              <w:jc w:val="center"/>
              <w:rPr>
                <w:b/>
                <w:smallCaps/>
              </w:rPr>
            </w:pPr>
          </w:p>
        </w:tc>
        <w:tc>
          <w:tcPr>
            <w:tcW w:w="536" w:type="dxa"/>
          </w:tcPr>
          <w:p w14:paraId="1E5EBCF5" w14:textId="77777777" w:rsidR="00BC6590" w:rsidRPr="0054386E" w:rsidRDefault="00BC6590" w:rsidP="00E648E3">
            <w:pPr>
              <w:jc w:val="center"/>
              <w:rPr>
                <w:b/>
                <w:smallCaps/>
              </w:rPr>
            </w:pPr>
          </w:p>
        </w:tc>
        <w:tc>
          <w:tcPr>
            <w:tcW w:w="2454" w:type="dxa"/>
          </w:tcPr>
          <w:p w14:paraId="3383BD13" w14:textId="77777777" w:rsidR="00BC6590" w:rsidRPr="0054386E" w:rsidRDefault="00BC6590" w:rsidP="00E648E3">
            <w:pPr>
              <w:jc w:val="center"/>
              <w:rPr>
                <w:b/>
                <w:smallCaps/>
              </w:rPr>
            </w:pPr>
          </w:p>
        </w:tc>
      </w:tr>
      <w:tr w:rsidR="00BC6590" w:rsidRPr="0054386E" w14:paraId="44B283F9" w14:textId="77777777" w:rsidTr="00512139">
        <w:tc>
          <w:tcPr>
            <w:tcW w:w="264" w:type="dxa"/>
            <w:tcBorders>
              <w:right w:val="nil"/>
            </w:tcBorders>
          </w:tcPr>
          <w:p w14:paraId="3A23882B" w14:textId="77777777" w:rsidR="00BC6590" w:rsidRPr="0054386E" w:rsidRDefault="00BC6590" w:rsidP="00E648E3">
            <w:pPr>
              <w:rPr>
                <w:b/>
                <w:smallCaps/>
              </w:rPr>
            </w:pPr>
          </w:p>
        </w:tc>
        <w:tc>
          <w:tcPr>
            <w:tcW w:w="6353" w:type="dxa"/>
            <w:tcBorders>
              <w:left w:val="nil"/>
            </w:tcBorders>
          </w:tcPr>
          <w:p w14:paraId="002BA9E0" w14:textId="2DC10CB5" w:rsidR="00BC6590" w:rsidRPr="00BC6590" w:rsidRDefault="00BC6590" w:rsidP="009A30D5">
            <w:pPr>
              <w:rPr>
                <w:rFonts w:ascii="Calibri" w:hAnsi="Calibri" w:cs="Calibri"/>
                <w:color w:val="000000"/>
              </w:rPr>
            </w:pPr>
            <w:r w:rsidRPr="00BC6590">
              <w:rPr>
                <w:rFonts w:ascii="Calibri" w:hAnsi="Calibri" w:cs="Calibri"/>
                <w:color w:val="000000"/>
              </w:rPr>
              <w:t>Acceptable organizational audit/financial review</w:t>
            </w:r>
          </w:p>
        </w:tc>
        <w:tc>
          <w:tcPr>
            <w:tcW w:w="535" w:type="dxa"/>
          </w:tcPr>
          <w:p w14:paraId="26209818" w14:textId="77777777" w:rsidR="00BC6590" w:rsidRPr="0054386E" w:rsidRDefault="00BC6590" w:rsidP="00E648E3">
            <w:pPr>
              <w:jc w:val="center"/>
              <w:rPr>
                <w:b/>
                <w:smallCaps/>
              </w:rPr>
            </w:pPr>
          </w:p>
        </w:tc>
        <w:tc>
          <w:tcPr>
            <w:tcW w:w="536" w:type="dxa"/>
          </w:tcPr>
          <w:p w14:paraId="4B77A085" w14:textId="77777777" w:rsidR="00BC6590" w:rsidRPr="0054386E" w:rsidRDefault="00BC6590" w:rsidP="00E648E3">
            <w:pPr>
              <w:jc w:val="center"/>
              <w:rPr>
                <w:b/>
                <w:smallCaps/>
              </w:rPr>
            </w:pPr>
          </w:p>
        </w:tc>
        <w:tc>
          <w:tcPr>
            <w:tcW w:w="2454" w:type="dxa"/>
          </w:tcPr>
          <w:p w14:paraId="4755E156" w14:textId="77777777" w:rsidR="00BC6590" w:rsidRPr="0054386E" w:rsidRDefault="00BC6590" w:rsidP="00E648E3">
            <w:pPr>
              <w:jc w:val="center"/>
              <w:rPr>
                <w:b/>
                <w:smallCaps/>
              </w:rPr>
            </w:pPr>
          </w:p>
        </w:tc>
      </w:tr>
      <w:tr w:rsidR="00BC6590" w:rsidRPr="0054386E" w14:paraId="7FB1088B" w14:textId="77777777" w:rsidTr="00512139">
        <w:tc>
          <w:tcPr>
            <w:tcW w:w="264" w:type="dxa"/>
            <w:tcBorders>
              <w:right w:val="nil"/>
            </w:tcBorders>
          </w:tcPr>
          <w:p w14:paraId="77B8A7BD" w14:textId="77777777" w:rsidR="00BC6590" w:rsidRPr="0054386E" w:rsidRDefault="00BC6590" w:rsidP="00E648E3">
            <w:pPr>
              <w:rPr>
                <w:b/>
                <w:smallCaps/>
              </w:rPr>
            </w:pPr>
          </w:p>
        </w:tc>
        <w:tc>
          <w:tcPr>
            <w:tcW w:w="6353" w:type="dxa"/>
            <w:tcBorders>
              <w:left w:val="nil"/>
            </w:tcBorders>
          </w:tcPr>
          <w:p w14:paraId="0208055C" w14:textId="61B5314F" w:rsidR="00BC6590" w:rsidRPr="00BC6590" w:rsidRDefault="00BC6590" w:rsidP="009A30D5">
            <w:pPr>
              <w:rPr>
                <w:rFonts w:ascii="Calibri" w:hAnsi="Calibri" w:cs="Calibri"/>
                <w:color w:val="000000"/>
              </w:rPr>
            </w:pPr>
            <w:r w:rsidRPr="00BC6590">
              <w:rPr>
                <w:rFonts w:ascii="Calibri" w:hAnsi="Calibri" w:cs="Calibri"/>
                <w:color w:val="000000"/>
              </w:rPr>
              <w:t>Documented organizational financial stability</w:t>
            </w:r>
          </w:p>
        </w:tc>
        <w:tc>
          <w:tcPr>
            <w:tcW w:w="535" w:type="dxa"/>
          </w:tcPr>
          <w:p w14:paraId="08C24C1A" w14:textId="77777777" w:rsidR="00BC6590" w:rsidRPr="0054386E" w:rsidRDefault="00BC6590" w:rsidP="00E648E3">
            <w:pPr>
              <w:jc w:val="center"/>
              <w:rPr>
                <w:b/>
                <w:smallCaps/>
              </w:rPr>
            </w:pPr>
          </w:p>
        </w:tc>
        <w:tc>
          <w:tcPr>
            <w:tcW w:w="536" w:type="dxa"/>
          </w:tcPr>
          <w:p w14:paraId="20EE4556" w14:textId="77777777" w:rsidR="00BC6590" w:rsidRPr="0054386E" w:rsidRDefault="00BC6590" w:rsidP="00E648E3">
            <w:pPr>
              <w:jc w:val="center"/>
              <w:rPr>
                <w:b/>
                <w:smallCaps/>
              </w:rPr>
            </w:pPr>
          </w:p>
        </w:tc>
        <w:tc>
          <w:tcPr>
            <w:tcW w:w="2454" w:type="dxa"/>
          </w:tcPr>
          <w:p w14:paraId="6FE6AE13" w14:textId="77777777" w:rsidR="00BC6590" w:rsidRPr="0054386E" w:rsidRDefault="00BC6590" w:rsidP="00E648E3">
            <w:pPr>
              <w:jc w:val="center"/>
              <w:rPr>
                <w:b/>
                <w:smallCaps/>
              </w:rPr>
            </w:pPr>
          </w:p>
        </w:tc>
      </w:tr>
    </w:tbl>
    <w:p w14:paraId="7B4A9B49" w14:textId="77777777" w:rsidR="00512139" w:rsidRDefault="00512139" w:rsidP="00512139"/>
    <w:p w14:paraId="366C27E4" w14:textId="77777777" w:rsidR="009A30D5" w:rsidRDefault="009A30D5">
      <w:r>
        <w:br w:type="page"/>
      </w:r>
    </w:p>
    <w:p w14:paraId="69ED7115" w14:textId="7FFA9FC2" w:rsidR="00813BF8" w:rsidRPr="00813BF8" w:rsidRDefault="00813BF8" w:rsidP="00813BF8">
      <w:pPr>
        <w:spacing w:line="240" w:lineRule="auto"/>
        <w:rPr>
          <w:b/>
          <w:color w:val="CF7347"/>
          <w:kern w:val="16"/>
          <w:sz w:val="24"/>
          <w:szCs w:val="24"/>
        </w:rPr>
      </w:pPr>
      <w:r>
        <w:rPr>
          <w:b/>
          <w:color w:val="CF7347"/>
          <w:kern w:val="16"/>
          <w:sz w:val="24"/>
          <w:szCs w:val="24"/>
        </w:rPr>
        <w:lastRenderedPageBreak/>
        <w:t>APPENDIX B</w:t>
      </w:r>
    </w:p>
    <w:p w14:paraId="2607E261" w14:textId="2B54A93E" w:rsidR="009A30D5" w:rsidRPr="009A30D5" w:rsidRDefault="009A30D5" w:rsidP="009A30D5">
      <w:pPr>
        <w:spacing w:after="0"/>
        <w:jc w:val="center"/>
        <w:rPr>
          <w:rFonts w:ascii="Calibri" w:hAnsi="Calibri"/>
          <w:b/>
          <w:sz w:val="24"/>
        </w:rPr>
      </w:pPr>
      <w:r w:rsidRPr="009A30D5">
        <w:rPr>
          <w:rFonts w:ascii="Calibri" w:hAnsi="Calibri"/>
          <w:b/>
          <w:sz w:val="24"/>
        </w:rPr>
        <w:t>FY 2021 Continuum of Care Competition (CoC)</w:t>
      </w:r>
    </w:p>
    <w:p w14:paraId="1784621B" w14:textId="77777777" w:rsidR="009A30D5" w:rsidRPr="009A30D5" w:rsidRDefault="009A30D5" w:rsidP="009A30D5">
      <w:pPr>
        <w:spacing w:after="0"/>
        <w:jc w:val="center"/>
        <w:rPr>
          <w:rFonts w:ascii="Calibri" w:hAnsi="Calibri"/>
          <w:b/>
          <w:sz w:val="24"/>
        </w:rPr>
      </w:pPr>
      <w:r w:rsidRPr="009A30D5">
        <w:rPr>
          <w:rFonts w:ascii="Calibri" w:hAnsi="Calibri"/>
          <w:b/>
          <w:sz w:val="24"/>
        </w:rPr>
        <w:t>Threshold Review Tool</w:t>
      </w:r>
    </w:p>
    <w:p w14:paraId="4CB4687F" w14:textId="46E2922F" w:rsidR="009A30D5" w:rsidRPr="009A30D5" w:rsidRDefault="009A30D5" w:rsidP="009A30D5">
      <w:pPr>
        <w:spacing w:after="0"/>
        <w:jc w:val="center"/>
        <w:rPr>
          <w:rFonts w:ascii="Calibri" w:hAnsi="Calibri"/>
          <w:b/>
          <w:sz w:val="24"/>
        </w:rPr>
      </w:pPr>
      <w:r>
        <w:rPr>
          <w:rFonts w:ascii="Calibri" w:hAnsi="Calibri"/>
          <w:b/>
          <w:sz w:val="24"/>
        </w:rPr>
        <w:t>Renewal</w:t>
      </w:r>
      <w:r w:rsidRPr="009A30D5">
        <w:rPr>
          <w:rFonts w:ascii="Calibri" w:hAnsi="Calibri"/>
          <w:b/>
          <w:sz w:val="24"/>
        </w:rPr>
        <w:t xml:space="preserve"> Applications</w:t>
      </w:r>
    </w:p>
    <w:p w14:paraId="40199CF0" w14:textId="77777777" w:rsidR="009A30D5" w:rsidRPr="006D4896" w:rsidRDefault="009A30D5" w:rsidP="009A30D5">
      <w:pPr>
        <w:rPr>
          <w:rFonts w:ascii="Calibri" w:hAnsi="Calibri"/>
        </w:rPr>
      </w:pPr>
      <w:r w:rsidRPr="006D4896">
        <w:rPr>
          <w:rFonts w:ascii="Calibri" w:hAnsi="Calibri"/>
        </w:rPr>
        <w:t>Name of Organization:</w:t>
      </w:r>
      <w:r w:rsidRPr="006D4896">
        <w:rPr>
          <w:rFonts w:ascii="Calibri" w:hAnsi="Calibri"/>
        </w:rPr>
        <w:tab/>
      </w:r>
      <w:r w:rsidRPr="006D4896">
        <w:rPr>
          <w:rFonts w:ascii="Calibri" w:hAnsi="Calibri"/>
        </w:rPr>
        <w:tab/>
      </w:r>
    </w:p>
    <w:p w14:paraId="31A683FF" w14:textId="77777777" w:rsidR="009A30D5" w:rsidRPr="006D4896" w:rsidRDefault="009A30D5" w:rsidP="009A30D5">
      <w:pPr>
        <w:rPr>
          <w:rFonts w:ascii="Calibri" w:hAnsi="Calibri"/>
        </w:rPr>
      </w:pPr>
      <w:r w:rsidRPr="006D4896">
        <w:rPr>
          <w:rFonts w:ascii="Calibri" w:hAnsi="Calibri"/>
        </w:rPr>
        <w:t>Project Title:</w:t>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p>
    <w:p w14:paraId="5C229B30" w14:textId="77777777" w:rsidR="009A30D5" w:rsidRPr="006D4896" w:rsidRDefault="009A30D5" w:rsidP="009A30D5">
      <w:pPr>
        <w:rPr>
          <w:rFonts w:ascii="Calibri" w:hAnsi="Calibri"/>
        </w:rPr>
      </w:pPr>
      <w:r w:rsidRPr="006D4896">
        <w:rPr>
          <w:rFonts w:ascii="Calibri" w:hAnsi="Calibri"/>
        </w:rPr>
        <w:t>Address of Proposed Project:</w:t>
      </w:r>
      <w:r w:rsidRPr="006D4896">
        <w:rPr>
          <w:rFonts w:ascii="Calibri" w:hAnsi="Calibri"/>
        </w:rPr>
        <w:tab/>
      </w:r>
      <w:r w:rsidRPr="006D4896">
        <w:rPr>
          <w:rFonts w:ascii="Calibri" w:hAnsi="Calibri"/>
        </w:rPr>
        <w:tab/>
      </w:r>
    </w:p>
    <w:p w14:paraId="36A85A34" w14:textId="77777777" w:rsidR="009A30D5" w:rsidRPr="006D4896" w:rsidRDefault="009A30D5" w:rsidP="009A30D5">
      <w:pPr>
        <w:rPr>
          <w:rFonts w:ascii="Calibri" w:hAnsi="Calibri"/>
        </w:rPr>
      </w:pPr>
      <w:r w:rsidRPr="006D4896">
        <w:rPr>
          <w:rFonts w:ascii="Calibri" w:hAnsi="Calibri"/>
        </w:rPr>
        <w:t>City / Zip code:</w:t>
      </w:r>
      <w:r w:rsidRPr="006D4896">
        <w:rPr>
          <w:rFonts w:ascii="Calibri" w:hAnsi="Calibri"/>
        </w:rPr>
        <w:tab/>
      </w:r>
      <w:r w:rsidRPr="006D4896">
        <w:rPr>
          <w:rFonts w:ascii="Calibri" w:hAnsi="Calibri"/>
        </w:rPr>
        <w:tab/>
      </w:r>
      <w:r w:rsidRPr="006D4896">
        <w:rPr>
          <w:rFonts w:ascii="Calibri" w:hAnsi="Calibri"/>
        </w:rPr>
        <w:tab/>
      </w:r>
    </w:p>
    <w:p w14:paraId="73994797" w14:textId="77777777" w:rsidR="009A30D5" w:rsidRPr="00512139" w:rsidRDefault="009A30D5" w:rsidP="009A30D5">
      <w:pPr>
        <w:rPr>
          <w:sz w:val="28"/>
        </w:rPr>
      </w:pPr>
      <w:r w:rsidRPr="006D4896">
        <w:rPr>
          <w:rFonts w:ascii="Calibri" w:hAnsi="Calibri"/>
        </w:rPr>
        <w:t>Amount Requested:</w:t>
      </w:r>
      <w:r w:rsidRPr="006D4896">
        <w:rPr>
          <w:rFonts w:ascii="Calibri" w:hAnsi="Calibri"/>
        </w:rPr>
        <w:tab/>
      </w:r>
      <w:r>
        <w:rPr>
          <w:sz w:val="28"/>
        </w:rPr>
        <w:tab/>
      </w:r>
    </w:p>
    <w:p w14:paraId="5A5C6FBA" w14:textId="77777777" w:rsidR="009A30D5" w:rsidRPr="006D4896" w:rsidRDefault="009A30D5" w:rsidP="009A30D5">
      <w:pPr>
        <w:rPr>
          <w:rFonts w:ascii="Calibri" w:hAnsi="Calibri"/>
        </w:rPr>
      </w:pPr>
      <w:r w:rsidRPr="006D4896">
        <w:rPr>
          <w:rFonts w:ascii="Calibri" w:hAnsi="Calibri"/>
        </w:rPr>
        <w:t>Please check if t</w:t>
      </w:r>
      <w:r>
        <w:rPr>
          <w:rFonts w:ascii="Calibri" w:hAnsi="Calibri"/>
        </w:rPr>
        <w:t>he following have been submitted:</w:t>
      </w:r>
      <w:r w:rsidRPr="006D4896">
        <w:rPr>
          <w:rFonts w:ascii="Calibri" w:hAnsi="Calibri"/>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
        <w:gridCol w:w="6353"/>
        <w:gridCol w:w="535"/>
        <w:gridCol w:w="536"/>
        <w:gridCol w:w="2454"/>
      </w:tblGrid>
      <w:tr w:rsidR="009A30D5" w:rsidRPr="0054386E" w14:paraId="09D7BC4C" w14:textId="77777777" w:rsidTr="00E648E3">
        <w:trPr>
          <w:trHeight w:val="422"/>
        </w:trPr>
        <w:tc>
          <w:tcPr>
            <w:tcW w:w="10142" w:type="dxa"/>
            <w:gridSpan w:val="5"/>
            <w:shd w:val="clear" w:color="auto" w:fill="BFBFBF"/>
            <w:vAlign w:val="center"/>
          </w:tcPr>
          <w:p w14:paraId="273726C9" w14:textId="77777777" w:rsidR="009A30D5" w:rsidRPr="0054386E" w:rsidRDefault="009A30D5" w:rsidP="00E648E3">
            <w:pPr>
              <w:rPr>
                <w:b/>
                <w:smallCaps/>
              </w:rPr>
            </w:pPr>
            <w:r w:rsidRPr="004C49DF">
              <w:rPr>
                <w:rFonts w:ascii="Calibri" w:hAnsi="Calibri"/>
                <w:b/>
              </w:rPr>
              <w:t>Application Components</w:t>
            </w:r>
            <w:r>
              <w:rPr>
                <w:rFonts w:ascii="Calibri" w:hAnsi="Calibri"/>
                <w:b/>
              </w:rPr>
              <w:t>:</w:t>
            </w:r>
          </w:p>
        </w:tc>
      </w:tr>
      <w:tr w:rsidR="009A30D5" w:rsidRPr="0054386E" w14:paraId="4956696A" w14:textId="77777777" w:rsidTr="00E648E3">
        <w:tc>
          <w:tcPr>
            <w:tcW w:w="264" w:type="dxa"/>
            <w:tcBorders>
              <w:right w:val="nil"/>
            </w:tcBorders>
          </w:tcPr>
          <w:p w14:paraId="345F69D4" w14:textId="77777777" w:rsidR="009A30D5" w:rsidRPr="0054386E" w:rsidRDefault="009A30D5" w:rsidP="00E648E3">
            <w:pPr>
              <w:jc w:val="center"/>
              <w:rPr>
                <w:rFonts w:ascii="Arial" w:hAnsi="Arial" w:cs="Arial"/>
                <w:smallCaps/>
              </w:rPr>
            </w:pPr>
          </w:p>
        </w:tc>
        <w:tc>
          <w:tcPr>
            <w:tcW w:w="6353" w:type="dxa"/>
            <w:tcBorders>
              <w:left w:val="nil"/>
            </w:tcBorders>
          </w:tcPr>
          <w:p w14:paraId="4B6BC906" w14:textId="77777777" w:rsidR="009A30D5" w:rsidRPr="0054386E" w:rsidRDefault="009A30D5" w:rsidP="00E648E3">
            <w:pPr>
              <w:rPr>
                <w:rFonts w:ascii="Calibri" w:hAnsi="Calibri"/>
              </w:rPr>
            </w:pPr>
          </w:p>
        </w:tc>
        <w:tc>
          <w:tcPr>
            <w:tcW w:w="535" w:type="dxa"/>
          </w:tcPr>
          <w:p w14:paraId="010BD150" w14:textId="77777777" w:rsidR="009A30D5" w:rsidRPr="0054386E" w:rsidRDefault="009A30D5" w:rsidP="00E648E3">
            <w:pPr>
              <w:jc w:val="center"/>
              <w:rPr>
                <w:b/>
                <w:smallCaps/>
              </w:rPr>
            </w:pPr>
            <w:r>
              <w:rPr>
                <w:b/>
                <w:smallCaps/>
              </w:rPr>
              <w:t>Yes</w:t>
            </w:r>
          </w:p>
        </w:tc>
        <w:tc>
          <w:tcPr>
            <w:tcW w:w="536" w:type="dxa"/>
          </w:tcPr>
          <w:p w14:paraId="3D698D47" w14:textId="77777777" w:rsidR="009A30D5" w:rsidRPr="0054386E" w:rsidRDefault="009A30D5" w:rsidP="00E648E3">
            <w:pPr>
              <w:jc w:val="center"/>
              <w:rPr>
                <w:b/>
                <w:smallCaps/>
              </w:rPr>
            </w:pPr>
            <w:r>
              <w:rPr>
                <w:b/>
                <w:smallCaps/>
              </w:rPr>
              <w:t>NO</w:t>
            </w:r>
          </w:p>
        </w:tc>
        <w:tc>
          <w:tcPr>
            <w:tcW w:w="2454" w:type="dxa"/>
          </w:tcPr>
          <w:p w14:paraId="155DC4DF" w14:textId="77777777" w:rsidR="009A30D5" w:rsidRPr="0054386E" w:rsidRDefault="009A30D5" w:rsidP="00E648E3">
            <w:pPr>
              <w:jc w:val="center"/>
              <w:rPr>
                <w:b/>
                <w:smallCaps/>
              </w:rPr>
            </w:pPr>
            <w:r>
              <w:rPr>
                <w:b/>
                <w:smallCaps/>
              </w:rPr>
              <w:t>NOTE</w:t>
            </w:r>
          </w:p>
        </w:tc>
      </w:tr>
      <w:tr w:rsidR="009A30D5" w:rsidRPr="0054386E" w14:paraId="6A950971" w14:textId="77777777" w:rsidTr="00E648E3">
        <w:tc>
          <w:tcPr>
            <w:tcW w:w="264" w:type="dxa"/>
            <w:tcBorders>
              <w:right w:val="nil"/>
            </w:tcBorders>
          </w:tcPr>
          <w:p w14:paraId="1316EF83" w14:textId="77777777" w:rsidR="009A30D5" w:rsidRPr="0054386E" w:rsidRDefault="009A30D5" w:rsidP="00E648E3">
            <w:pPr>
              <w:jc w:val="center"/>
              <w:rPr>
                <w:rFonts w:ascii="Arial" w:hAnsi="Arial" w:cs="Arial"/>
                <w:smallCaps/>
              </w:rPr>
            </w:pPr>
          </w:p>
        </w:tc>
        <w:tc>
          <w:tcPr>
            <w:tcW w:w="6353" w:type="dxa"/>
            <w:tcBorders>
              <w:left w:val="nil"/>
            </w:tcBorders>
          </w:tcPr>
          <w:p w14:paraId="71EF2C8F" w14:textId="77777777" w:rsidR="009A30D5" w:rsidRPr="00175A62" w:rsidRDefault="009A30D5" w:rsidP="00E648E3">
            <w:pPr>
              <w:rPr>
                <w:rFonts w:ascii="Calibri" w:hAnsi="Calibri"/>
              </w:rPr>
            </w:pPr>
            <w:r w:rsidRPr="0054386E">
              <w:rPr>
                <w:rFonts w:ascii="Calibri" w:hAnsi="Calibri"/>
              </w:rPr>
              <w:t xml:space="preserve">One (1) </w:t>
            </w:r>
            <w:r>
              <w:rPr>
                <w:rFonts w:ascii="Calibri" w:hAnsi="Calibri"/>
              </w:rPr>
              <w:t>signed completed application with all supporting documents  with signed cover sheet</w:t>
            </w:r>
          </w:p>
        </w:tc>
        <w:tc>
          <w:tcPr>
            <w:tcW w:w="535" w:type="dxa"/>
          </w:tcPr>
          <w:p w14:paraId="7F8D5E16" w14:textId="77777777" w:rsidR="009A30D5" w:rsidRPr="0054386E" w:rsidRDefault="009A30D5" w:rsidP="00E648E3">
            <w:pPr>
              <w:jc w:val="center"/>
              <w:rPr>
                <w:b/>
                <w:smallCaps/>
              </w:rPr>
            </w:pPr>
          </w:p>
        </w:tc>
        <w:tc>
          <w:tcPr>
            <w:tcW w:w="536" w:type="dxa"/>
          </w:tcPr>
          <w:p w14:paraId="6D5F60CF" w14:textId="77777777" w:rsidR="009A30D5" w:rsidRPr="0054386E" w:rsidRDefault="009A30D5" w:rsidP="00E648E3">
            <w:pPr>
              <w:jc w:val="center"/>
              <w:rPr>
                <w:b/>
                <w:smallCaps/>
              </w:rPr>
            </w:pPr>
          </w:p>
        </w:tc>
        <w:tc>
          <w:tcPr>
            <w:tcW w:w="2454" w:type="dxa"/>
          </w:tcPr>
          <w:p w14:paraId="7F11D7E9" w14:textId="77777777" w:rsidR="009A30D5" w:rsidRPr="0054386E" w:rsidRDefault="009A30D5" w:rsidP="00E648E3">
            <w:pPr>
              <w:jc w:val="center"/>
              <w:rPr>
                <w:b/>
                <w:smallCaps/>
              </w:rPr>
            </w:pPr>
          </w:p>
        </w:tc>
      </w:tr>
      <w:tr w:rsidR="009A30D5" w:rsidRPr="0054386E" w14:paraId="01C0D52B" w14:textId="77777777" w:rsidTr="00E648E3">
        <w:tc>
          <w:tcPr>
            <w:tcW w:w="264" w:type="dxa"/>
            <w:tcBorders>
              <w:right w:val="nil"/>
            </w:tcBorders>
          </w:tcPr>
          <w:p w14:paraId="7298215E" w14:textId="77777777" w:rsidR="009A30D5" w:rsidRPr="0054386E" w:rsidRDefault="009A30D5" w:rsidP="00E648E3">
            <w:pPr>
              <w:jc w:val="center"/>
              <w:rPr>
                <w:rFonts w:ascii="Arial" w:hAnsi="Arial" w:cs="Arial"/>
                <w:smallCaps/>
              </w:rPr>
            </w:pPr>
          </w:p>
        </w:tc>
        <w:tc>
          <w:tcPr>
            <w:tcW w:w="6353" w:type="dxa"/>
            <w:tcBorders>
              <w:left w:val="nil"/>
            </w:tcBorders>
          </w:tcPr>
          <w:p w14:paraId="514513E0" w14:textId="6B349321" w:rsidR="009A30D5" w:rsidRPr="00175A62" w:rsidRDefault="00AD3FC9" w:rsidP="00E648E3">
            <w:pPr>
              <w:rPr>
                <w:rFonts w:ascii="Calibri" w:hAnsi="Calibri"/>
              </w:rPr>
            </w:pPr>
            <w:r>
              <w:rPr>
                <w:rFonts w:ascii="Calibri" w:hAnsi="Calibri"/>
              </w:rPr>
              <w:t xml:space="preserve">Completed </w:t>
            </w:r>
            <w:r w:rsidR="009A30D5">
              <w:rPr>
                <w:rFonts w:ascii="Calibri" w:hAnsi="Calibri"/>
              </w:rPr>
              <w:t xml:space="preserve">Budget Workbook  </w:t>
            </w:r>
          </w:p>
        </w:tc>
        <w:tc>
          <w:tcPr>
            <w:tcW w:w="535" w:type="dxa"/>
          </w:tcPr>
          <w:p w14:paraId="6218549C" w14:textId="77777777" w:rsidR="009A30D5" w:rsidRPr="0054386E" w:rsidRDefault="009A30D5" w:rsidP="00E648E3">
            <w:pPr>
              <w:jc w:val="center"/>
              <w:rPr>
                <w:b/>
                <w:smallCaps/>
              </w:rPr>
            </w:pPr>
          </w:p>
        </w:tc>
        <w:tc>
          <w:tcPr>
            <w:tcW w:w="536" w:type="dxa"/>
          </w:tcPr>
          <w:p w14:paraId="5A72D583" w14:textId="77777777" w:rsidR="009A30D5" w:rsidRPr="0054386E" w:rsidRDefault="009A30D5" w:rsidP="00E648E3">
            <w:pPr>
              <w:jc w:val="center"/>
              <w:rPr>
                <w:b/>
                <w:smallCaps/>
              </w:rPr>
            </w:pPr>
          </w:p>
        </w:tc>
        <w:tc>
          <w:tcPr>
            <w:tcW w:w="2454" w:type="dxa"/>
          </w:tcPr>
          <w:p w14:paraId="0275F190" w14:textId="77777777" w:rsidR="009A30D5" w:rsidRPr="0054386E" w:rsidRDefault="009A30D5" w:rsidP="00E648E3">
            <w:pPr>
              <w:jc w:val="center"/>
              <w:rPr>
                <w:b/>
                <w:smallCaps/>
              </w:rPr>
            </w:pPr>
          </w:p>
        </w:tc>
      </w:tr>
      <w:tr w:rsidR="009A30D5" w:rsidRPr="0054386E" w14:paraId="6F6AE9ED" w14:textId="77777777" w:rsidTr="00E648E3">
        <w:trPr>
          <w:trHeight w:val="413"/>
        </w:trPr>
        <w:tc>
          <w:tcPr>
            <w:tcW w:w="10142" w:type="dxa"/>
            <w:gridSpan w:val="5"/>
            <w:shd w:val="clear" w:color="auto" w:fill="BFBFBF"/>
            <w:vAlign w:val="center"/>
          </w:tcPr>
          <w:p w14:paraId="5DBE7A69" w14:textId="77777777" w:rsidR="009A30D5" w:rsidRPr="0054386E" w:rsidRDefault="009A30D5" w:rsidP="00E648E3">
            <w:pPr>
              <w:rPr>
                <w:b/>
                <w:smallCaps/>
              </w:rPr>
            </w:pPr>
            <w:r w:rsidRPr="0054386E">
              <w:rPr>
                <w:rFonts w:ascii="Calibri" w:hAnsi="Calibri"/>
                <w:b/>
              </w:rPr>
              <w:t>Supporting Documents</w:t>
            </w:r>
            <w:r>
              <w:rPr>
                <w:rFonts w:ascii="Calibri" w:hAnsi="Calibri"/>
                <w:b/>
              </w:rPr>
              <w:t xml:space="preserve"> Check List</w:t>
            </w:r>
            <w:r w:rsidRPr="0054386E">
              <w:rPr>
                <w:rFonts w:ascii="Calibri" w:hAnsi="Calibri"/>
                <w:b/>
              </w:rPr>
              <w:t>:</w:t>
            </w:r>
          </w:p>
        </w:tc>
      </w:tr>
      <w:tr w:rsidR="009A30D5" w:rsidRPr="0054386E" w14:paraId="1957E426" w14:textId="77777777" w:rsidTr="00E648E3">
        <w:tc>
          <w:tcPr>
            <w:tcW w:w="264" w:type="dxa"/>
            <w:tcBorders>
              <w:right w:val="nil"/>
            </w:tcBorders>
          </w:tcPr>
          <w:p w14:paraId="739D0ED9" w14:textId="77777777" w:rsidR="009A30D5" w:rsidRPr="0054386E" w:rsidRDefault="009A30D5" w:rsidP="00E648E3">
            <w:pPr>
              <w:jc w:val="center"/>
              <w:rPr>
                <w:rFonts w:ascii="Arial" w:hAnsi="Arial" w:cs="Arial"/>
                <w:smallCaps/>
              </w:rPr>
            </w:pPr>
          </w:p>
        </w:tc>
        <w:tc>
          <w:tcPr>
            <w:tcW w:w="6353" w:type="dxa"/>
            <w:tcBorders>
              <w:left w:val="nil"/>
            </w:tcBorders>
          </w:tcPr>
          <w:p w14:paraId="6B4F8E72" w14:textId="77777777" w:rsidR="009A30D5" w:rsidRPr="0054386E" w:rsidRDefault="009A30D5" w:rsidP="00E648E3">
            <w:pPr>
              <w:rPr>
                <w:rFonts w:ascii="Calibri" w:hAnsi="Calibri"/>
              </w:rPr>
            </w:pPr>
            <w:r>
              <w:rPr>
                <w:rFonts w:ascii="Calibri" w:hAnsi="Calibri"/>
              </w:rPr>
              <w:t>Match Letter(s) with full 25 percent match contribution</w:t>
            </w:r>
          </w:p>
        </w:tc>
        <w:tc>
          <w:tcPr>
            <w:tcW w:w="535" w:type="dxa"/>
          </w:tcPr>
          <w:p w14:paraId="66188FBE" w14:textId="77777777" w:rsidR="009A30D5" w:rsidRPr="0054386E" w:rsidRDefault="009A30D5" w:rsidP="00E648E3">
            <w:pPr>
              <w:jc w:val="center"/>
              <w:rPr>
                <w:b/>
                <w:smallCaps/>
              </w:rPr>
            </w:pPr>
          </w:p>
        </w:tc>
        <w:tc>
          <w:tcPr>
            <w:tcW w:w="536" w:type="dxa"/>
          </w:tcPr>
          <w:p w14:paraId="574F4E41" w14:textId="77777777" w:rsidR="009A30D5" w:rsidRPr="0054386E" w:rsidRDefault="009A30D5" w:rsidP="00E648E3">
            <w:pPr>
              <w:jc w:val="center"/>
              <w:rPr>
                <w:b/>
                <w:smallCaps/>
              </w:rPr>
            </w:pPr>
          </w:p>
        </w:tc>
        <w:tc>
          <w:tcPr>
            <w:tcW w:w="2454" w:type="dxa"/>
          </w:tcPr>
          <w:p w14:paraId="1879F27A" w14:textId="77777777" w:rsidR="009A30D5" w:rsidRPr="0054386E" w:rsidRDefault="009A30D5" w:rsidP="00E648E3">
            <w:pPr>
              <w:jc w:val="center"/>
              <w:rPr>
                <w:b/>
                <w:smallCaps/>
              </w:rPr>
            </w:pPr>
          </w:p>
        </w:tc>
      </w:tr>
      <w:tr w:rsidR="009A30D5" w:rsidRPr="0054386E" w14:paraId="6F51B5C4" w14:textId="77777777" w:rsidTr="00E648E3">
        <w:tc>
          <w:tcPr>
            <w:tcW w:w="264" w:type="dxa"/>
            <w:tcBorders>
              <w:right w:val="nil"/>
            </w:tcBorders>
          </w:tcPr>
          <w:p w14:paraId="5BD857A0" w14:textId="77777777" w:rsidR="009A30D5" w:rsidRPr="0054386E" w:rsidRDefault="009A30D5" w:rsidP="00E648E3">
            <w:pPr>
              <w:jc w:val="center"/>
              <w:rPr>
                <w:rFonts w:ascii="Arial" w:hAnsi="Arial" w:cs="Arial"/>
                <w:smallCaps/>
              </w:rPr>
            </w:pPr>
          </w:p>
        </w:tc>
        <w:tc>
          <w:tcPr>
            <w:tcW w:w="6353" w:type="dxa"/>
            <w:tcBorders>
              <w:left w:val="nil"/>
            </w:tcBorders>
          </w:tcPr>
          <w:p w14:paraId="15A67C74" w14:textId="77777777" w:rsidR="009A30D5" w:rsidRPr="0054386E" w:rsidRDefault="009A30D5" w:rsidP="00E648E3">
            <w:pPr>
              <w:rPr>
                <w:rFonts w:ascii="Calibri" w:hAnsi="Calibri"/>
                <w:b/>
              </w:rPr>
            </w:pPr>
            <w:r w:rsidRPr="0054386E">
              <w:rPr>
                <w:rFonts w:ascii="Calibri" w:hAnsi="Calibri"/>
              </w:rPr>
              <w:t>Conflict of Interest Questionnaire</w:t>
            </w:r>
            <w:r w:rsidRPr="0054386E">
              <w:rPr>
                <w:rFonts w:ascii="Calibri" w:hAnsi="Calibri" w:cs="Calibri"/>
                <w:color w:val="000000"/>
              </w:rPr>
              <w:t xml:space="preserve"> and Limits to Primary Religious Organizations</w:t>
            </w:r>
            <w:r>
              <w:rPr>
                <w:rFonts w:ascii="Calibri" w:hAnsi="Calibri" w:cs="Calibri"/>
                <w:color w:val="000000"/>
              </w:rPr>
              <w:t xml:space="preserve"> – signed and dated</w:t>
            </w:r>
          </w:p>
        </w:tc>
        <w:tc>
          <w:tcPr>
            <w:tcW w:w="535" w:type="dxa"/>
          </w:tcPr>
          <w:p w14:paraId="2F013420" w14:textId="77777777" w:rsidR="009A30D5" w:rsidRPr="0054386E" w:rsidRDefault="009A30D5" w:rsidP="00E648E3">
            <w:pPr>
              <w:jc w:val="center"/>
              <w:rPr>
                <w:b/>
                <w:smallCaps/>
              </w:rPr>
            </w:pPr>
          </w:p>
        </w:tc>
        <w:tc>
          <w:tcPr>
            <w:tcW w:w="536" w:type="dxa"/>
          </w:tcPr>
          <w:p w14:paraId="5C397C20" w14:textId="77777777" w:rsidR="009A30D5" w:rsidRPr="0054386E" w:rsidRDefault="009A30D5" w:rsidP="00E648E3">
            <w:pPr>
              <w:jc w:val="center"/>
              <w:rPr>
                <w:b/>
                <w:smallCaps/>
              </w:rPr>
            </w:pPr>
          </w:p>
        </w:tc>
        <w:tc>
          <w:tcPr>
            <w:tcW w:w="2454" w:type="dxa"/>
          </w:tcPr>
          <w:p w14:paraId="245BC2ED" w14:textId="77777777" w:rsidR="009A30D5" w:rsidRPr="0054386E" w:rsidRDefault="009A30D5" w:rsidP="00E648E3">
            <w:pPr>
              <w:jc w:val="center"/>
              <w:rPr>
                <w:b/>
                <w:smallCaps/>
              </w:rPr>
            </w:pPr>
          </w:p>
        </w:tc>
      </w:tr>
      <w:tr w:rsidR="009A30D5" w:rsidRPr="0054386E" w14:paraId="4A3F86FD" w14:textId="77777777" w:rsidTr="00E648E3">
        <w:tc>
          <w:tcPr>
            <w:tcW w:w="264" w:type="dxa"/>
            <w:tcBorders>
              <w:right w:val="nil"/>
            </w:tcBorders>
          </w:tcPr>
          <w:p w14:paraId="2CB71ED5" w14:textId="77777777" w:rsidR="009A30D5" w:rsidRPr="0054386E" w:rsidRDefault="009A30D5" w:rsidP="00E648E3">
            <w:pPr>
              <w:jc w:val="center"/>
              <w:rPr>
                <w:rFonts w:ascii="Arial" w:hAnsi="Arial" w:cs="Arial"/>
                <w:smallCaps/>
              </w:rPr>
            </w:pPr>
          </w:p>
        </w:tc>
        <w:tc>
          <w:tcPr>
            <w:tcW w:w="6353" w:type="dxa"/>
            <w:tcBorders>
              <w:left w:val="nil"/>
            </w:tcBorders>
          </w:tcPr>
          <w:p w14:paraId="0826AA53" w14:textId="77777777" w:rsidR="009A30D5" w:rsidRPr="004C49DF" w:rsidRDefault="009A30D5" w:rsidP="00E648E3">
            <w:pPr>
              <w:rPr>
                <w:rFonts w:ascii="Calibri" w:hAnsi="Calibri"/>
              </w:rPr>
            </w:pPr>
            <w:r w:rsidRPr="004C49DF">
              <w:rPr>
                <w:rFonts w:ascii="Calibri" w:hAnsi="Calibri"/>
              </w:rPr>
              <w:t>MOHS Fair Housing Policy and Statement of Agreement</w:t>
            </w:r>
            <w:r>
              <w:rPr>
                <w:rFonts w:ascii="Calibri" w:hAnsi="Calibri"/>
              </w:rPr>
              <w:t xml:space="preserve"> – signed and dated</w:t>
            </w:r>
          </w:p>
        </w:tc>
        <w:tc>
          <w:tcPr>
            <w:tcW w:w="535" w:type="dxa"/>
          </w:tcPr>
          <w:p w14:paraId="4E60D691" w14:textId="77777777" w:rsidR="009A30D5" w:rsidRPr="0054386E" w:rsidRDefault="009A30D5" w:rsidP="00E648E3">
            <w:pPr>
              <w:jc w:val="center"/>
              <w:rPr>
                <w:b/>
                <w:smallCaps/>
              </w:rPr>
            </w:pPr>
          </w:p>
        </w:tc>
        <w:tc>
          <w:tcPr>
            <w:tcW w:w="536" w:type="dxa"/>
          </w:tcPr>
          <w:p w14:paraId="74145D27" w14:textId="77777777" w:rsidR="009A30D5" w:rsidRPr="0054386E" w:rsidRDefault="009A30D5" w:rsidP="00E648E3">
            <w:pPr>
              <w:jc w:val="center"/>
              <w:rPr>
                <w:b/>
                <w:smallCaps/>
              </w:rPr>
            </w:pPr>
          </w:p>
        </w:tc>
        <w:tc>
          <w:tcPr>
            <w:tcW w:w="2454" w:type="dxa"/>
          </w:tcPr>
          <w:p w14:paraId="4C469143" w14:textId="77777777" w:rsidR="009A30D5" w:rsidRPr="0054386E" w:rsidRDefault="009A30D5" w:rsidP="00E648E3">
            <w:pPr>
              <w:jc w:val="center"/>
              <w:rPr>
                <w:b/>
                <w:smallCaps/>
              </w:rPr>
            </w:pPr>
          </w:p>
        </w:tc>
      </w:tr>
      <w:tr w:rsidR="009A30D5" w:rsidRPr="0054386E" w14:paraId="1B971130" w14:textId="77777777" w:rsidTr="00E648E3">
        <w:tc>
          <w:tcPr>
            <w:tcW w:w="264" w:type="dxa"/>
            <w:tcBorders>
              <w:right w:val="nil"/>
            </w:tcBorders>
          </w:tcPr>
          <w:p w14:paraId="022A74FA" w14:textId="77777777" w:rsidR="009A30D5" w:rsidRPr="0054386E" w:rsidRDefault="009A30D5" w:rsidP="00E648E3">
            <w:pPr>
              <w:jc w:val="center"/>
              <w:rPr>
                <w:rFonts w:ascii="Arial" w:hAnsi="Arial" w:cs="Arial"/>
                <w:smallCaps/>
              </w:rPr>
            </w:pPr>
          </w:p>
        </w:tc>
        <w:tc>
          <w:tcPr>
            <w:tcW w:w="6353" w:type="dxa"/>
            <w:tcBorders>
              <w:left w:val="nil"/>
            </w:tcBorders>
          </w:tcPr>
          <w:p w14:paraId="31D63EDD" w14:textId="77777777" w:rsidR="009A30D5" w:rsidRPr="00FB1D85" w:rsidRDefault="009A30D5" w:rsidP="00E648E3">
            <w:pPr>
              <w:autoSpaceDE w:val="0"/>
              <w:autoSpaceDN w:val="0"/>
              <w:adjustRightInd w:val="0"/>
              <w:spacing w:after="0" w:line="240" w:lineRule="auto"/>
              <w:rPr>
                <w:rFonts w:ascii="Calibri" w:hAnsi="Calibri"/>
                <w:color w:val="000000"/>
              </w:rPr>
            </w:pPr>
            <w:r w:rsidRPr="00FB1D85">
              <w:rPr>
                <w:rFonts w:ascii="Calibri" w:hAnsi="Calibri"/>
                <w:color w:val="000000"/>
              </w:rPr>
              <w:t>Housing First Certification</w:t>
            </w:r>
            <w:r>
              <w:rPr>
                <w:rFonts w:ascii="Calibri" w:hAnsi="Calibri"/>
                <w:color w:val="000000"/>
              </w:rPr>
              <w:t xml:space="preserve"> </w:t>
            </w:r>
            <w:r>
              <w:rPr>
                <w:rFonts w:ascii="Calibri" w:hAnsi="Calibri"/>
              </w:rPr>
              <w:t>– signed and dated</w:t>
            </w:r>
          </w:p>
          <w:p w14:paraId="033665EE" w14:textId="77777777" w:rsidR="009A30D5" w:rsidRPr="004C49DF" w:rsidRDefault="009A30D5" w:rsidP="00E648E3">
            <w:pPr>
              <w:rPr>
                <w:rFonts w:ascii="Calibri" w:hAnsi="Calibri"/>
              </w:rPr>
            </w:pPr>
          </w:p>
        </w:tc>
        <w:tc>
          <w:tcPr>
            <w:tcW w:w="535" w:type="dxa"/>
          </w:tcPr>
          <w:p w14:paraId="58F10412" w14:textId="77777777" w:rsidR="009A30D5" w:rsidRPr="0054386E" w:rsidRDefault="009A30D5" w:rsidP="00E648E3">
            <w:pPr>
              <w:jc w:val="center"/>
              <w:rPr>
                <w:b/>
                <w:smallCaps/>
              </w:rPr>
            </w:pPr>
          </w:p>
        </w:tc>
        <w:tc>
          <w:tcPr>
            <w:tcW w:w="536" w:type="dxa"/>
          </w:tcPr>
          <w:p w14:paraId="3136119D" w14:textId="77777777" w:rsidR="009A30D5" w:rsidRPr="0054386E" w:rsidRDefault="009A30D5" w:rsidP="00E648E3">
            <w:pPr>
              <w:jc w:val="center"/>
              <w:rPr>
                <w:b/>
                <w:smallCaps/>
              </w:rPr>
            </w:pPr>
          </w:p>
        </w:tc>
        <w:tc>
          <w:tcPr>
            <w:tcW w:w="2454" w:type="dxa"/>
          </w:tcPr>
          <w:p w14:paraId="024E942C" w14:textId="77777777" w:rsidR="009A30D5" w:rsidRPr="0054386E" w:rsidRDefault="009A30D5" w:rsidP="00E648E3">
            <w:pPr>
              <w:jc w:val="center"/>
              <w:rPr>
                <w:b/>
                <w:smallCaps/>
              </w:rPr>
            </w:pPr>
          </w:p>
        </w:tc>
      </w:tr>
      <w:tr w:rsidR="009A30D5" w:rsidRPr="0054386E" w14:paraId="51DD9639" w14:textId="77777777" w:rsidTr="00E648E3">
        <w:tc>
          <w:tcPr>
            <w:tcW w:w="264" w:type="dxa"/>
            <w:tcBorders>
              <w:right w:val="nil"/>
            </w:tcBorders>
          </w:tcPr>
          <w:p w14:paraId="49CC8830" w14:textId="77777777" w:rsidR="009A30D5" w:rsidRPr="0054386E" w:rsidRDefault="009A30D5" w:rsidP="00E648E3">
            <w:pPr>
              <w:jc w:val="center"/>
              <w:rPr>
                <w:b/>
                <w:smallCaps/>
              </w:rPr>
            </w:pPr>
          </w:p>
        </w:tc>
        <w:tc>
          <w:tcPr>
            <w:tcW w:w="6353" w:type="dxa"/>
            <w:tcBorders>
              <w:left w:val="nil"/>
            </w:tcBorders>
          </w:tcPr>
          <w:p w14:paraId="469162F1" w14:textId="77777777" w:rsidR="009A30D5" w:rsidRPr="0054386E" w:rsidRDefault="009A30D5" w:rsidP="00E648E3">
            <w:pPr>
              <w:rPr>
                <w:rFonts w:ascii="Calibri" w:hAnsi="Calibri"/>
              </w:rPr>
            </w:pPr>
            <w:r w:rsidRPr="0054386E">
              <w:rPr>
                <w:rFonts w:ascii="Calibri" w:hAnsi="Calibri"/>
              </w:rPr>
              <w:t>Certificate of Good Standing from State of Maryland</w:t>
            </w:r>
            <w:r>
              <w:rPr>
                <w:rFonts w:ascii="Calibri" w:hAnsi="Calibri"/>
              </w:rPr>
              <w:t xml:space="preserve"> between  within 30 days of application submission (dated between September 5, 2021 to October 5, 2021) </w:t>
            </w:r>
          </w:p>
        </w:tc>
        <w:tc>
          <w:tcPr>
            <w:tcW w:w="535" w:type="dxa"/>
          </w:tcPr>
          <w:p w14:paraId="528D98A8" w14:textId="77777777" w:rsidR="009A30D5" w:rsidRPr="0054386E" w:rsidRDefault="009A30D5" w:rsidP="00E648E3">
            <w:pPr>
              <w:jc w:val="center"/>
              <w:rPr>
                <w:b/>
                <w:smallCaps/>
              </w:rPr>
            </w:pPr>
          </w:p>
        </w:tc>
        <w:tc>
          <w:tcPr>
            <w:tcW w:w="536" w:type="dxa"/>
          </w:tcPr>
          <w:p w14:paraId="1D264E75" w14:textId="77777777" w:rsidR="009A30D5" w:rsidRPr="0054386E" w:rsidRDefault="009A30D5" w:rsidP="00E648E3">
            <w:pPr>
              <w:jc w:val="center"/>
              <w:rPr>
                <w:b/>
                <w:smallCaps/>
              </w:rPr>
            </w:pPr>
          </w:p>
        </w:tc>
        <w:tc>
          <w:tcPr>
            <w:tcW w:w="2454" w:type="dxa"/>
          </w:tcPr>
          <w:p w14:paraId="619CA7C8" w14:textId="77777777" w:rsidR="009A30D5" w:rsidRPr="0054386E" w:rsidRDefault="009A30D5" w:rsidP="00E648E3">
            <w:pPr>
              <w:jc w:val="center"/>
              <w:rPr>
                <w:b/>
                <w:smallCaps/>
              </w:rPr>
            </w:pPr>
          </w:p>
        </w:tc>
      </w:tr>
      <w:tr w:rsidR="009A30D5" w:rsidRPr="0054386E" w14:paraId="30262C9F" w14:textId="77777777" w:rsidTr="00E648E3">
        <w:tc>
          <w:tcPr>
            <w:tcW w:w="264" w:type="dxa"/>
            <w:tcBorders>
              <w:right w:val="nil"/>
            </w:tcBorders>
          </w:tcPr>
          <w:p w14:paraId="3CD8D822" w14:textId="77777777" w:rsidR="009A30D5" w:rsidRPr="0054386E" w:rsidRDefault="009A30D5" w:rsidP="00E648E3">
            <w:pPr>
              <w:jc w:val="center"/>
              <w:rPr>
                <w:b/>
                <w:smallCaps/>
              </w:rPr>
            </w:pPr>
          </w:p>
        </w:tc>
        <w:tc>
          <w:tcPr>
            <w:tcW w:w="6353" w:type="dxa"/>
            <w:tcBorders>
              <w:left w:val="nil"/>
            </w:tcBorders>
          </w:tcPr>
          <w:p w14:paraId="65E85881" w14:textId="77777777" w:rsidR="009A30D5" w:rsidRPr="0054386E" w:rsidRDefault="009A30D5" w:rsidP="00E648E3">
            <w:pPr>
              <w:rPr>
                <w:rFonts w:ascii="Calibri" w:hAnsi="Calibri"/>
              </w:rPr>
            </w:pPr>
            <w:r w:rsidRPr="0054386E">
              <w:rPr>
                <w:rFonts w:ascii="Calibri" w:hAnsi="Calibri"/>
              </w:rPr>
              <w:t>Current list of Board of Directors</w:t>
            </w:r>
          </w:p>
        </w:tc>
        <w:tc>
          <w:tcPr>
            <w:tcW w:w="535" w:type="dxa"/>
          </w:tcPr>
          <w:p w14:paraId="1D9849FF" w14:textId="77777777" w:rsidR="009A30D5" w:rsidRPr="0054386E" w:rsidRDefault="009A30D5" w:rsidP="00E648E3">
            <w:pPr>
              <w:jc w:val="center"/>
              <w:rPr>
                <w:b/>
                <w:smallCaps/>
              </w:rPr>
            </w:pPr>
          </w:p>
        </w:tc>
        <w:tc>
          <w:tcPr>
            <w:tcW w:w="536" w:type="dxa"/>
          </w:tcPr>
          <w:p w14:paraId="765B7C26" w14:textId="77777777" w:rsidR="009A30D5" w:rsidRPr="0054386E" w:rsidRDefault="009A30D5" w:rsidP="00E648E3">
            <w:pPr>
              <w:jc w:val="center"/>
              <w:rPr>
                <w:b/>
                <w:smallCaps/>
              </w:rPr>
            </w:pPr>
          </w:p>
        </w:tc>
        <w:tc>
          <w:tcPr>
            <w:tcW w:w="2454" w:type="dxa"/>
          </w:tcPr>
          <w:p w14:paraId="2EB6A6B5" w14:textId="77777777" w:rsidR="009A30D5" w:rsidRPr="0054386E" w:rsidRDefault="009A30D5" w:rsidP="00E648E3">
            <w:pPr>
              <w:jc w:val="center"/>
              <w:rPr>
                <w:b/>
                <w:smallCaps/>
              </w:rPr>
            </w:pPr>
          </w:p>
        </w:tc>
      </w:tr>
      <w:tr w:rsidR="009A30D5" w:rsidRPr="0054386E" w14:paraId="36854E7D" w14:textId="77777777" w:rsidTr="00E648E3">
        <w:tc>
          <w:tcPr>
            <w:tcW w:w="264" w:type="dxa"/>
            <w:tcBorders>
              <w:right w:val="nil"/>
            </w:tcBorders>
          </w:tcPr>
          <w:p w14:paraId="438A9273" w14:textId="77777777" w:rsidR="009A30D5" w:rsidRPr="0054386E" w:rsidRDefault="009A30D5" w:rsidP="00E648E3">
            <w:pPr>
              <w:jc w:val="center"/>
              <w:rPr>
                <w:b/>
                <w:smallCaps/>
              </w:rPr>
            </w:pPr>
          </w:p>
        </w:tc>
        <w:tc>
          <w:tcPr>
            <w:tcW w:w="6353" w:type="dxa"/>
            <w:tcBorders>
              <w:left w:val="nil"/>
            </w:tcBorders>
          </w:tcPr>
          <w:p w14:paraId="36211294" w14:textId="77777777" w:rsidR="009A30D5" w:rsidRPr="0054386E" w:rsidRDefault="009A30D5" w:rsidP="00E648E3">
            <w:pPr>
              <w:rPr>
                <w:rFonts w:ascii="Calibri" w:hAnsi="Calibri"/>
              </w:rPr>
            </w:pPr>
            <w:r w:rsidRPr="00EC3588">
              <w:rPr>
                <w:rFonts w:ascii="Calibri" w:hAnsi="Calibri" w:cs="Arial"/>
                <w:color w:val="000000"/>
              </w:rPr>
              <w:t>Copies of Project’s Termination, Non-Discrimination, and Grievance Policies Provided to Clients</w:t>
            </w:r>
          </w:p>
        </w:tc>
        <w:tc>
          <w:tcPr>
            <w:tcW w:w="535" w:type="dxa"/>
          </w:tcPr>
          <w:p w14:paraId="2DD29893" w14:textId="77777777" w:rsidR="009A30D5" w:rsidRPr="0054386E" w:rsidRDefault="009A30D5" w:rsidP="00E648E3">
            <w:pPr>
              <w:jc w:val="center"/>
              <w:rPr>
                <w:b/>
                <w:smallCaps/>
              </w:rPr>
            </w:pPr>
          </w:p>
        </w:tc>
        <w:tc>
          <w:tcPr>
            <w:tcW w:w="536" w:type="dxa"/>
          </w:tcPr>
          <w:p w14:paraId="03340CF5" w14:textId="77777777" w:rsidR="009A30D5" w:rsidRPr="0054386E" w:rsidRDefault="009A30D5" w:rsidP="00E648E3">
            <w:pPr>
              <w:jc w:val="center"/>
              <w:rPr>
                <w:b/>
                <w:smallCaps/>
              </w:rPr>
            </w:pPr>
          </w:p>
        </w:tc>
        <w:tc>
          <w:tcPr>
            <w:tcW w:w="2454" w:type="dxa"/>
          </w:tcPr>
          <w:p w14:paraId="7EE1C667" w14:textId="77777777" w:rsidR="009A30D5" w:rsidRPr="0054386E" w:rsidRDefault="009A30D5" w:rsidP="00E648E3">
            <w:pPr>
              <w:jc w:val="center"/>
              <w:rPr>
                <w:b/>
                <w:smallCaps/>
              </w:rPr>
            </w:pPr>
          </w:p>
        </w:tc>
      </w:tr>
      <w:tr w:rsidR="009A30D5" w:rsidRPr="0054386E" w14:paraId="20CBC946" w14:textId="77777777" w:rsidTr="00E648E3">
        <w:tc>
          <w:tcPr>
            <w:tcW w:w="264" w:type="dxa"/>
            <w:tcBorders>
              <w:right w:val="nil"/>
            </w:tcBorders>
          </w:tcPr>
          <w:p w14:paraId="3320DF90" w14:textId="77777777" w:rsidR="009A30D5" w:rsidRPr="0054386E" w:rsidRDefault="009A30D5" w:rsidP="00E648E3">
            <w:pPr>
              <w:jc w:val="center"/>
              <w:rPr>
                <w:b/>
                <w:smallCaps/>
              </w:rPr>
            </w:pPr>
          </w:p>
        </w:tc>
        <w:tc>
          <w:tcPr>
            <w:tcW w:w="6353" w:type="dxa"/>
            <w:tcBorders>
              <w:left w:val="nil"/>
            </w:tcBorders>
          </w:tcPr>
          <w:p w14:paraId="0F2D5C1A" w14:textId="77777777" w:rsidR="009A30D5" w:rsidRDefault="009A30D5" w:rsidP="00E648E3">
            <w:pPr>
              <w:autoSpaceDE w:val="0"/>
              <w:autoSpaceDN w:val="0"/>
              <w:adjustRightInd w:val="0"/>
              <w:spacing w:after="0" w:line="240" w:lineRule="auto"/>
              <w:rPr>
                <w:rFonts w:ascii="Calibri" w:hAnsi="Calibri"/>
                <w:color w:val="000000"/>
              </w:rPr>
            </w:pPr>
            <w:r>
              <w:rPr>
                <w:rFonts w:ascii="Calibri" w:hAnsi="Calibri"/>
                <w:color w:val="000000"/>
              </w:rPr>
              <w:t>Copy of Project’s Program Policies/Rules to include client Participation Agreement/Rights and Responsibilities</w:t>
            </w:r>
          </w:p>
          <w:p w14:paraId="5A32FB2E" w14:textId="77777777" w:rsidR="009A30D5" w:rsidRPr="00EC3588" w:rsidRDefault="009A30D5" w:rsidP="00E648E3">
            <w:pPr>
              <w:rPr>
                <w:rFonts w:ascii="Calibri" w:hAnsi="Calibri" w:cs="Arial"/>
                <w:color w:val="000000"/>
              </w:rPr>
            </w:pPr>
          </w:p>
        </w:tc>
        <w:tc>
          <w:tcPr>
            <w:tcW w:w="535" w:type="dxa"/>
          </w:tcPr>
          <w:p w14:paraId="70DAF437" w14:textId="77777777" w:rsidR="009A30D5" w:rsidRPr="0054386E" w:rsidRDefault="009A30D5" w:rsidP="00E648E3">
            <w:pPr>
              <w:jc w:val="center"/>
              <w:rPr>
                <w:b/>
                <w:smallCaps/>
              </w:rPr>
            </w:pPr>
          </w:p>
        </w:tc>
        <w:tc>
          <w:tcPr>
            <w:tcW w:w="536" w:type="dxa"/>
          </w:tcPr>
          <w:p w14:paraId="1AD7E063" w14:textId="77777777" w:rsidR="009A30D5" w:rsidRPr="0054386E" w:rsidRDefault="009A30D5" w:rsidP="00E648E3">
            <w:pPr>
              <w:jc w:val="center"/>
              <w:rPr>
                <w:b/>
                <w:smallCaps/>
              </w:rPr>
            </w:pPr>
          </w:p>
        </w:tc>
        <w:tc>
          <w:tcPr>
            <w:tcW w:w="2454" w:type="dxa"/>
          </w:tcPr>
          <w:p w14:paraId="66C7F9EC" w14:textId="77777777" w:rsidR="009A30D5" w:rsidRPr="0054386E" w:rsidRDefault="009A30D5" w:rsidP="00E648E3">
            <w:pPr>
              <w:jc w:val="center"/>
              <w:rPr>
                <w:b/>
                <w:smallCaps/>
              </w:rPr>
            </w:pPr>
          </w:p>
        </w:tc>
      </w:tr>
      <w:tr w:rsidR="009A30D5" w:rsidRPr="0054386E" w14:paraId="4C58CDC2" w14:textId="77777777" w:rsidTr="00E648E3">
        <w:tc>
          <w:tcPr>
            <w:tcW w:w="264" w:type="dxa"/>
            <w:tcBorders>
              <w:right w:val="nil"/>
            </w:tcBorders>
          </w:tcPr>
          <w:p w14:paraId="44F5438B" w14:textId="77777777" w:rsidR="009A30D5" w:rsidRPr="0054386E" w:rsidRDefault="009A30D5" w:rsidP="00E648E3">
            <w:pPr>
              <w:jc w:val="center"/>
              <w:rPr>
                <w:b/>
                <w:smallCaps/>
              </w:rPr>
            </w:pPr>
          </w:p>
        </w:tc>
        <w:tc>
          <w:tcPr>
            <w:tcW w:w="6353" w:type="dxa"/>
            <w:tcBorders>
              <w:left w:val="nil"/>
            </w:tcBorders>
          </w:tcPr>
          <w:p w14:paraId="102CFF6B" w14:textId="77777777" w:rsidR="009A30D5" w:rsidRPr="00175A62" w:rsidRDefault="009A30D5" w:rsidP="00E648E3">
            <w:pPr>
              <w:pStyle w:val="ListParagraph"/>
              <w:ind w:left="0"/>
              <w:rPr>
                <w:rFonts w:ascii="Calibri" w:hAnsi="Calibri" w:cs="Calibri"/>
                <w:color w:val="000000"/>
              </w:rPr>
            </w:pPr>
            <w:r w:rsidRPr="00EC3588">
              <w:rPr>
                <w:rFonts w:ascii="Calibri" w:hAnsi="Calibri" w:cs="Arial"/>
                <w:color w:val="000000"/>
              </w:rPr>
              <w:t>Project Organizational Chart (must include name, title, email, and phone for each staff position at project – this is a requirement for the grantors)</w:t>
            </w:r>
          </w:p>
        </w:tc>
        <w:tc>
          <w:tcPr>
            <w:tcW w:w="535" w:type="dxa"/>
          </w:tcPr>
          <w:p w14:paraId="294F7022" w14:textId="77777777" w:rsidR="009A30D5" w:rsidRPr="0054386E" w:rsidRDefault="009A30D5" w:rsidP="00E648E3">
            <w:pPr>
              <w:jc w:val="center"/>
              <w:rPr>
                <w:b/>
                <w:smallCaps/>
              </w:rPr>
            </w:pPr>
          </w:p>
        </w:tc>
        <w:tc>
          <w:tcPr>
            <w:tcW w:w="536" w:type="dxa"/>
          </w:tcPr>
          <w:p w14:paraId="678D8E08" w14:textId="77777777" w:rsidR="009A30D5" w:rsidRPr="0054386E" w:rsidRDefault="009A30D5" w:rsidP="00E648E3">
            <w:pPr>
              <w:jc w:val="center"/>
              <w:rPr>
                <w:b/>
                <w:smallCaps/>
              </w:rPr>
            </w:pPr>
          </w:p>
        </w:tc>
        <w:tc>
          <w:tcPr>
            <w:tcW w:w="2454" w:type="dxa"/>
          </w:tcPr>
          <w:p w14:paraId="3C8EC643" w14:textId="77777777" w:rsidR="009A30D5" w:rsidRPr="0054386E" w:rsidRDefault="009A30D5" w:rsidP="00E648E3">
            <w:pPr>
              <w:jc w:val="center"/>
              <w:rPr>
                <w:b/>
                <w:smallCaps/>
              </w:rPr>
            </w:pPr>
          </w:p>
        </w:tc>
      </w:tr>
      <w:tr w:rsidR="009A30D5" w:rsidRPr="0054386E" w14:paraId="4762A5A0" w14:textId="77777777" w:rsidTr="00E648E3">
        <w:tc>
          <w:tcPr>
            <w:tcW w:w="264" w:type="dxa"/>
            <w:tcBorders>
              <w:right w:val="nil"/>
            </w:tcBorders>
          </w:tcPr>
          <w:p w14:paraId="05DA6804" w14:textId="77777777" w:rsidR="009A30D5" w:rsidRPr="0054386E" w:rsidRDefault="009A30D5" w:rsidP="00E648E3">
            <w:pPr>
              <w:rPr>
                <w:b/>
                <w:smallCaps/>
              </w:rPr>
            </w:pPr>
          </w:p>
        </w:tc>
        <w:tc>
          <w:tcPr>
            <w:tcW w:w="6353" w:type="dxa"/>
            <w:tcBorders>
              <w:left w:val="nil"/>
            </w:tcBorders>
          </w:tcPr>
          <w:p w14:paraId="26D52172" w14:textId="77777777" w:rsidR="009A30D5" w:rsidRPr="00175A62" w:rsidRDefault="009A30D5" w:rsidP="00E648E3">
            <w:pPr>
              <w:autoSpaceDE w:val="0"/>
              <w:autoSpaceDN w:val="0"/>
              <w:adjustRightInd w:val="0"/>
              <w:rPr>
                <w:rFonts w:ascii="Calibri" w:hAnsi="Calibri" w:cs="Calibri"/>
                <w:color w:val="000000"/>
              </w:rPr>
            </w:pPr>
            <w:r w:rsidRPr="00175A62">
              <w:rPr>
                <w:rFonts w:ascii="Calibri" w:hAnsi="Calibri" w:cs="Calibri"/>
                <w:color w:val="000000"/>
              </w:rPr>
              <w:t xml:space="preserve">Proof of </w:t>
            </w:r>
            <w:r>
              <w:rPr>
                <w:rFonts w:ascii="Calibri" w:hAnsi="Calibri" w:cs="Calibri"/>
                <w:color w:val="000000"/>
              </w:rPr>
              <w:t>Ownership or Lease Agreement (if housing will be provided at site-based location)</w:t>
            </w:r>
          </w:p>
        </w:tc>
        <w:tc>
          <w:tcPr>
            <w:tcW w:w="535" w:type="dxa"/>
          </w:tcPr>
          <w:p w14:paraId="5970CA89" w14:textId="77777777" w:rsidR="009A30D5" w:rsidRPr="0054386E" w:rsidRDefault="009A30D5" w:rsidP="00E648E3">
            <w:pPr>
              <w:jc w:val="center"/>
              <w:rPr>
                <w:b/>
                <w:smallCaps/>
              </w:rPr>
            </w:pPr>
          </w:p>
        </w:tc>
        <w:tc>
          <w:tcPr>
            <w:tcW w:w="536" w:type="dxa"/>
          </w:tcPr>
          <w:p w14:paraId="5716C57B" w14:textId="77777777" w:rsidR="009A30D5" w:rsidRPr="0054386E" w:rsidRDefault="009A30D5" w:rsidP="00E648E3">
            <w:pPr>
              <w:jc w:val="center"/>
              <w:rPr>
                <w:b/>
                <w:smallCaps/>
              </w:rPr>
            </w:pPr>
          </w:p>
        </w:tc>
        <w:tc>
          <w:tcPr>
            <w:tcW w:w="2454" w:type="dxa"/>
          </w:tcPr>
          <w:p w14:paraId="1FA2E61D" w14:textId="77777777" w:rsidR="009A30D5" w:rsidRPr="0054386E" w:rsidRDefault="009A30D5" w:rsidP="00E648E3">
            <w:pPr>
              <w:jc w:val="center"/>
              <w:rPr>
                <w:b/>
                <w:smallCaps/>
              </w:rPr>
            </w:pPr>
          </w:p>
        </w:tc>
      </w:tr>
      <w:tr w:rsidR="009A30D5" w:rsidRPr="0054386E" w14:paraId="118B6FBC" w14:textId="77777777" w:rsidTr="00E648E3">
        <w:tc>
          <w:tcPr>
            <w:tcW w:w="264" w:type="dxa"/>
            <w:tcBorders>
              <w:right w:val="nil"/>
            </w:tcBorders>
          </w:tcPr>
          <w:p w14:paraId="2E78C2B8" w14:textId="77777777" w:rsidR="009A30D5" w:rsidRPr="0054386E" w:rsidRDefault="009A30D5" w:rsidP="00E648E3">
            <w:pPr>
              <w:rPr>
                <w:b/>
                <w:smallCaps/>
              </w:rPr>
            </w:pPr>
          </w:p>
        </w:tc>
        <w:tc>
          <w:tcPr>
            <w:tcW w:w="6353" w:type="dxa"/>
            <w:tcBorders>
              <w:left w:val="nil"/>
            </w:tcBorders>
          </w:tcPr>
          <w:p w14:paraId="69D2CD48" w14:textId="77777777" w:rsidR="009A30D5" w:rsidRDefault="009A30D5" w:rsidP="00E648E3">
            <w:pPr>
              <w:rPr>
                <w:rFonts w:ascii="Calibri" w:hAnsi="Calibri" w:cs="Calibri"/>
                <w:color w:val="000000"/>
              </w:rPr>
            </w:pPr>
            <w:r>
              <w:rPr>
                <w:rFonts w:ascii="Calibri" w:hAnsi="Calibri" w:cs="Calibri"/>
                <w:color w:val="000000"/>
              </w:rPr>
              <w:t>Single Audit or Independent Financial Audits for the most recent 2 years.</w:t>
            </w:r>
          </w:p>
          <w:p w14:paraId="571A2516" w14:textId="77777777" w:rsidR="009A30D5" w:rsidRPr="00175A62" w:rsidRDefault="009A30D5" w:rsidP="00E648E3">
            <w:pPr>
              <w:rPr>
                <w:rFonts w:ascii="Calibri" w:hAnsi="Calibri" w:cs="Calibri"/>
                <w:color w:val="000000"/>
              </w:rPr>
            </w:pPr>
            <w:r>
              <w:t>Also, project recipients who expend $750,000 or more in 1 year in federal awards must have a single or program-specific audit for that year in accordance with the provisions of 2 CFR part 200, subpart F.</w:t>
            </w:r>
          </w:p>
        </w:tc>
        <w:tc>
          <w:tcPr>
            <w:tcW w:w="535" w:type="dxa"/>
          </w:tcPr>
          <w:p w14:paraId="210DA658" w14:textId="77777777" w:rsidR="009A30D5" w:rsidRPr="0054386E" w:rsidRDefault="009A30D5" w:rsidP="00E648E3">
            <w:pPr>
              <w:jc w:val="center"/>
              <w:rPr>
                <w:b/>
                <w:smallCaps/>
              </w:rPr>
            </w:pPr>
          </w:p>
        </w:tc>
        <w:tc>
          <w:tcPr>
            <w:tcW w:w="536" w:type="dxa"/>
          </w:tcPr>
          <w:p w14:paraId="23B34048" w14:textId="77777777" w:rsidR="009A30D5" w:rsidRPr="0054386E" w:rsidRDefault="009A30D5" w:rsidP="00E648E3">
            <w:pPr>
              <w:jc w:val="center"/>
              <w:rPr>
                <w:b/>
                <w:smallCaps/>
              </w:rPr>
            </w:pPr>
          </w:p>
        </w:tc>
        <w:tc>
          <w:tcPr>
            <w:tcW w:w="2454" w:type="dxa"/>
          </w:tcPr>
          <w:p w14:paraId="2EB5DA7B" w14:textId="77777777" w:rsidR="009A30D5" w:rsidRPr="0054386E" w:rsidRDefault="009A30D5" w:rsidP="00E648E3">
            <w:pPr>
              <w:jc w:val="center"/>
              <w:rPr>
                <w:b/>
                <w:smallCaps/>
              </w:rPr>
            </w:pPr>
          </w:p>
        </w:tc>
      </w:tr>
      <w:tr w:rsidR="00BC6590" w:rsidRPr="0054386E" w14:paraId="4C912F31" w14:textId="77777777" w:rsidTr="0089119A">
        <w:tc>
          <w:tcPr>
            <w:tcW w:w="264" w:type="dxa"/>
            <w:tcBorders>
              <w:right w:val="nil"/>
            </w:tcBorders>
            <w:shd w:val="clear" w:color="auto" w:fill="D9D9D9" w:themeFill="background1" w:themeFillShade="D9"/>
          </w:tcPr>
          <w:p w14:paraId="55AF3887" w14:textId="77777777" w:rsidR="00BC6590" w:rsidRPr="0054386E" w:rsidRDefault="00BC6590" w:rsidP="0089119A">
            <w:pPr>
              <w:rPr>
                <w:b/>
                <w:smallCaps/>
              </w:rPr>
            </w:pPr>
          </w:p>
        </w:tc>
        <w:tc>
          <w:tcPr>
            <w:tcW w:w="9878" w:type="dxa"/>
            <w:gridSpan w:val="4"/>
            <w:tcBorders>
              <w:left w:val="nil"/>
            </w:tcBorders>
            <w:shd w:val="clear" w:color="auto" w:fill="D9D9D9" w:themeFill="background1" w:themeFillShade="D9"/>
          </w:tcPr>
          <w:p w14:paraId="3E187D71" w14:textId="7372EE12" w:rsidR="00BC6590" w:rsidRPr="0054386E" w:rsidRDefault="00BC6590" w:rsidP="0089119A">
            <w:pPr>
              <w:rPr>
                <w:b/>
                <w:smallCaps/>
              </w:rPr>
            </w:pPr>
            <w:r>
              <w:rPr>
                <w:rFonts w:ascii="Calibri" w:hAnsi="Calibri"/>
                <w:b/>
              </w:rPr>
              <w:t>CoC Threshold</w:t>
            </w:r>
            <w:r w:rsidRPr="0054386E">
              <w:rPr>
                <w:rFonts w:ascii="Calibri" w:hAnsi="Calibri"/>
                <w:b/>
              </w:rPr>
              <w:t>:</w:t>
            </w:r>
            <w:r>
              <w:rPr>
                <w:rFonts w:ascii="Calibri" w:hAnsi="Calibri"/>
                <w:b/>
              </w:rPr>
              <w:t xml:space="preserve"> (first 5 are required)</w:t>
            </w:r>
          </w:p>
        </w:tc>
      </w:tr>
      <w:tr w:rsidR="00BC6590" w:rsidRPr="0054386E" w14:paraId="6E5F7227" w14:textId="77777777" w:rsidTr="0089119A">
        <w:tc>
          <w:tcPr>
            <w:tcW w:w="264" w:type="dxa"/>
            <w:tcBorders>
              <w:right w:val="nil"/>
            </w:tcBorders>
          </w:tcPr>
          <w:p w14:paraId="78CC4E27" w14:textId="77777777" w:rsidR="00BC6590" w:rsidRPr="0054386E" w:rsidRDefault="00BC6590" w:rsidP="0089119A">
            <w:pPr>
              <w:rPr>
                <w:b/>
                <w:smallCaps/>
              </w:rPr>
            </w:pPr>
          </w:p>
        </w:tc>
        <w:tc>
          <w:tcPr>
            <w:tcW w:w="6353" w:type="dxa"/>
            <w:tcBorders>
              <w:left w:val="nil"/>
            </w:tcBorders>
          </w:tcPr>
          <w:p w14:paraId="50DF28D3" w14:textId="77777777" w:rsidR="00BC6590" w:rsidRDefault="00BC6590" w:rsidP="0089119A">
            <w:pPr>
              <w:rPr>
                <w:rFonts w:ascii="Calibri" w:hAnsi="Calibri" w:cs="Calibri"/>
                <w:color w:val="000000"/>
              </w:rPr>
            </w:pPr>
            <w:r w:rsidRPr="001B3DD7">
              <w:rPr>
                <w:rFonts w:ascii="Calibri" w:hAnsi="Calibri" w:cs="Calibri"/>
                <w:color w:val="000000"/>
              </w:rPr>
              <w:t>Coordinated Entry Participation</w:t>
            </w:r>
            <w:r>
              <w:rPr>
                <w:rFonts w:ascii="Calibri" w:hAnsi="Calibri" w:cs="Calibri"/>
                <w:color w:val="000000"/>
              </w:rPr>
              <w:t xml:space="preserve"> (if not participating, commitment to participate)</w:t>
            </w:r>
          </w:p>
        </w:tc>
        <w:tc>
          <w:tcPr>
            <w:tcW w:w="535" w:type="dxa"/>
          </w:tcPr>
          <w:p w14:paraId="1C2E0DD5" w14:textId="77777777" w:rsidR="00BC6590" w:rsidRPr="0054386E" w:rsidRDefault="00BC6590" w:rsidP="0089119A">
            <w:pPr>
              <w:jc w:val="center"/>
              <w:rPr>
                <w:b/>
                <w:smallCaps/>
              </w:rPr>
            </w:pPr>
          </w:p>
        </w:tc>
        <w:tc>
          <w:tcPr>
            <w:tcW w:w="536" w:type="dxa"/>
          </w:tcPr>
          <w:p w14:paraId="2DD55C6D" w14:textId="77777777" w:rsidR="00BC6590" w:rsidRPr="0054386E" w:rsidRDefault="00BC6590" w:rsidP="0089119A">
            <w:pPr>
              <w:jc w:val="center"/>
              <w:rPr>
                <w:b/>
                <w:smallCaps/>
              </w:rPr>
            </w:pPr>
          </w:p>
        </w:tc>
        <w:tc>
          <w:tcPr>
            <w:tcW w:w="2454" w:type="dxa"/>
          </w:tcPr>
          <w:p w14:paraId="6D479657" w14:textId="77777777" w:rsidR="00BC6590" w:rsidRPr="0054386E" w:rsidRDefault="00BC6590" w:rsidP="0089119A">
            <w:pPr>
              <w:jc w:val="center"/>
              <w:rPr>
                <w:b/>
                <w:smallCaps/>
              </w:rPr>
            </w:pPr>
          </w:p>
        </w:tc>
      </w:tr>
      <w:tr w:rsidR="00BC6590" w:rsidRPr="0054386E" w14:paraId="390AEC01" w14:textId="77777777" w:rsidTr="0089119A">
        <w:tc>
          <w:tcPr>
            <w:tcW w:w="264" w:type="dxa"/>
            <w:tcBorders>
              <w:right w:val="nil"/>
            </w:tcBorders>
          </w:tcPr>
          <w:p w14:paraId="5EAB2765" w14:textId="77777777" w:rsidR="00BC6590" w:rsidRPr="0054386E" w:rsidRDefault="00BC6590" w:rsidP="0089119A">
            <w:pPr>
              <w:rPr>
                <w:b/>
                <w:smallCaps/>
              </w:rPr>
            </w:pPr>
          </w:p>
        </w:tc>
        <w:tc>
          <w:tcPr>
            <w:tcW w:w="6353" w:type="dxa"/>
            <w:tcBorders>
              <w:left w:val="nil"/>
            </w:tcBorders>
          </w:tcPr>
          <w:p w14:paraId="671336D0" w14:textId="77777777" w:rsidR="00BC6590" w:rsidRPr="001B3DD7" w:rsidRDefault="00BC6590" w:rsidP="0089119A">
            <w:pPr>
              <w:rPr>
                <w:rFonts w:ascii="Calibri" w:hAnsi="Calibri" w:cs="Calibri"/>
                <w:color w:val="000000"/>
              </w:rPr>
            </w:pPr>
            <w:r>
              <w:rPr>
                <w:rFonts w:ascii="Calibri" w:hAnsi="Calibri" w:cs="Calibri"/>
                <w:color w:val="000000"/>
              </w:rPr>
              <w:t>Commitment to Housing First</w:t>
            </w:r>
          </w:p>
        </w:tc>
        <w:tc>
          <w:tcPr>
            <w:tcW w:w="535" w:type="dxa"/>
          </w:tcPr>
          <w:p w14:paraId="672AC3B2" w14:textId="77777777" w:rsidR="00BC6590" w:rsidRPr="0054386E" w:rsidRDefault="00BC6590" w:rsidP="0089119A">
            <w:pPr>
              <w:jc w:val="center"/>
              <w:rPr>
                <w:b/>
                <w:smallCaps/>
              </w:rPr>
            </w:pPr>
          </w:p>
        </w:tc>
        <w:tc>
          <w:tcPr>
            <w:tcW w:w="536" w:type="dxa"/>
          </w:tcPr>
          <w:p w14:paraId="6EA26059" w14:textId="77777777" w:rsidR="00BC6590" w:rsidRPr="0054386E" w:rsidRDefault="00BC6590" w:rsidP="0089119A">
            <w:pPr>
              <w:jc w:val="center"/>
              <w:rPr>
                <w:b/>
                <w:smallCaps/>
              </w:rPr>
            </w:pPr>
          </w:p>
        </w:tc>
        <w:tc>
          <w:tcPr>
            <w:tcW w:w="2454" w:type="dxa"/>
          </w:tcPr>
          <w:p w14:paraId="66572A9E" w14:textId="77777777" w:rsidR="00BC6590" w:rsidRPr="0054386E" w:rsidRDefault="00BC6590" w:rsidP="0089119A">
            <w:pPr>
              <w:jc w:val="center"/>
              <w:rPr>
                <w:b/>
                <w:smallCaps/>
              </w:rPr>
            </w:pPr>
          </w:p>
        </w:tc>
      </w:tr>
      <w:tr w:rsidR="00BC6590" w:rsidRPr="0054386E" w14:paraId="42FBD713" w14:textId="77777777" w:rsidTr="0089119A">
        <w:tc>
          <w:tcPr>
            <w:tcW w:w="264" w:type="dxa"/>
            <w:tcBorders>
              <w:right w:val="nil"/>
            </w:tcBorders>
          </w:tcPr>
          <w:p w14:paraId="730CBED2" w14:textId="77777777" w:rsidR="00BC6590" w:rsidRPr="0054386E" w:rsidRDefault="00BC6590" w:rsidP="0089119A">
            <w:pPr>
              <w:rPr>
                <w:b/>
                <w:smallCaps/>
              </w:rPr>
            </w:pPr>
          </w:p>
        </w:tc>
        <w:tc>
          <w:tcPr>
            <w:tcW w:w="6353" w:type="dxa"/>
            <w:tcBorders>
              <w:left w:val="nil"/>
            </w:tcBorders>
          </w:tcPr>
          <w:p w14:paraId="4B018409" w14:textId="77777777" w:rsidR="00BC6590" w:rsidRPr="001B3DD7" w:rsidRDefault="00BC6590" w:rsidP="0089119A">
            <w:pPr>
              <w:rPr>
                <w:rFonts w:ascii="Calibri" w:hAnsi="Calibri" w:cs="Calibri"/>
                <w:color w:val="000000"/>
              </w:rPr>
            </w:pPr>
            <w:r>
              <w:rPr>
                <w:rFonts w:ascii="Calibri" w:hAnsi="Calibri" w:cs="Calibri"/>
                <w:color w:val="000000"/>
              </w:rPr>
              <w:t>Documented secured minimum match</w:t>
            </w:r>
          </w:p>
        </w:tc>
        <w:tc>
          <w:tcPr>
            <w:tcW w:w="535" w:type="dxa"/>
          </w:tcPr>
          <w:p w14:paraId="14332FF4" w14:textId="77777777" w:rsidR="00BC6590" w:rsidRPr="0054386E" w:rsidRDefault="00BC6590" w:rsidP="0089119A">
            <w:pPr>
              <w:jc w:val="center"/>
              <w:rPr>
                <w:b/>
                <w:smallCaps/>
              </w:rPr>
            </w:pPr>
          </w:p>
        </w:tc>
        <w:tc>
          <w:tcPr>
            <w:tcW w:w="536" w:type="dxa"/>
          </w:tcPr>
          <w:p w14:paraId="0AC35F96" w14:textId="77777777" w:rsidR="00BC6590" w:rsidRPr="0054386E" w:rsidRDefault="00BC6590" w:rsidP="0089119A">
            <w:pPr>
              <w:jc w:val="center"/>
              <w:rPr>
                <w:b/>
                <w:smallCaps/>
              </w:rPr>
            </w:pPr>
          </w:p>
        </w:tc>
        <w:tc>
          <w:tcPr>
            <w:tcW w:w="2454" w:type="dxa"/>
          </w:tcPr>
          <w:p w14:paraId="0436BCF6" w14:textId="77777777" w:rsidR="00BC6590" w:rsidRPr="0054386E" w:rsidRDefault="00BC6590" w:rsidP="0089119A">
            <w:pPr>
              <w:jc w:val="center"/>
              <w:rPr>
                <w:b/>
                <w:smallCaps/>
              </w:rPr>
            </w:pPr>
          </w:p>
        </w:tc>
      </w:tr>
      <w:tr w:rsidR="00BC6590" w:rsidRPr="0054386E" w14:paraId="30D54D86" w14:textId="77777777" w:rsidTr="0089119A">
        <w:tc>
          <w:tcPr>
            <w:tcW w:w="264" w:type="dxa"/>
            <w:tcBorders>
              <w:right w:val="nil"/>
            </w:tcBorders>
          </w:tcPr>
          <w:p w14:paraId="5276C619" w14:textId="77777777" w:rsidR="00BC6590" w:rsidRPr="0054386E" w:rsidRDefault="00BC6590" w:rsidP="0089119A">
            <w:pPr>
              <w:rPr>
                <w:b/>
                <w:smallCaps/>
              </w:rPr>
            </w:pPr>
          </w:p>
        </w:tc>
        <w:tc>
          <w:tcPr>
            <w:tcW w:w="6353" w:type="dxa"/>
            <w:tcBorders>
              <w:left w:val="nil"/>
            </w:tcBorders>
          </w:tcPr>
          <w:p w14:paraId="319A90E3" w14:textId="77777777" w:rsidR="00BC6590" w:rsidRPr="001B3DD7" w:rsidRDefault="00BC6590" w:rsidP="0089119A">
            <w:pPr>
              <w:rPr>
                <w:rFonts w:ascii="Calibri" w:hAnsi="Calibri" w:cs="Calibri"/>
                <w:color w:val="000000"/>
              </w:rPr>
            </w:pPr>
            <w:r w:rsidRPr="00BC6590">
              <w:rPr>
                <w:rFonts w:ascii="Calibri" w:hAnsi="Calibri" w:cs="Calibri"/>
                <w:color w:val="000000"/>
              </w:rPr>
              <w:t>Project has reasonable costs per permanent housing exit, as defined locally</w:t>
            </w:r>
          </w:p>
        </w:tc>
        <w:tc>
          <w:tcPr>
            <w:tcW w:w="535" w:type="dxa"/>
          </w:tcPr>
          <w:p w14:paraId="11B52C36" w14:textId="77777777" w:rsidR="00BC6590" w:rsidRPr="0054386E" w:rsidRDefault="00BC6590" w:rsidP="0089119A">
            <w:pPr>
              <w:jc w:val="center"/>
              <w:rPr>
                <w:b/>
                <w:smallCaps/>
              </w:rPr>
            </w:pPr>
          </w:p>
        </w:tc>
        <w:tc>
          <w:tcPr>
            <w:tcW w:w="536" w:type="dxa"/>
          </w:tcPr>
          <w:p w14:paraId="6E6DBBA0" w14:textId="77777777" w:rsidR="00BC6590" w:rsidRPr="0054386E" w:rsidRDefault="00BC6590" w:rsidP="0089119A">
            <w:pPr>
              <w:jc w:val="center"/>
              <w:rPr>
                <w:b/>
                <w:smallCaps/>
              </w:rPr>
            </w:pPr>
          </w:p>
        </w:tc>
        <w:tc>
          <w:tcPr>
            <w:tcW w:w="2454" w:type="dxa"/>
          </w:tcPr>
          <w:p w14:paraId="02C3E92E" w14:textId="77777777" w:rsidR="00BC6590" w:rsidRPr="0054386E" w:rsidRDefault="00BC6590" w:rsidP="0089119A">
            <w:pPr>
              <w:jc w:val="center"/>
              <w:rPr>
                <w:b/>
                <w:smallCaps/>
              </w:rPr>
            </w:pPr>
          </w:p>
        </w:tc>
      </w:tr>
      <w:tr w:rsidR="00BC6590" w:rsidRPr="0054386E" w14:paraId="3D4BE678" w14:textId="77777777" w:rsidTr="0089119A">
        <w:tc>
          <w:tcPr>
            <w:tcW w:w="264" w:type="dxa"/>
            <w:tcBorders>
              <w:right w:val="nil"/>
            </w:tcBorders>
          </w:tcPr>
          <w:p w14:paraId="020BCFEC" w14:textId="77777777" w:rsidR="00BC6590" w:rsidRPr="0054386E" w:rsidRDefault="00BC6590" w:rsidP="0089119A">
            <w:pPr>
              <w:rPr>
                <w:b/>
                <w:smallCaps/>
              </w:rPr>
            </w:pPr>
          </w:p>
        </w:tc>
        <w:tc>
          <w:tcPr>
            <w:tcW w:w="6353" w:type="dxa"/>
            <w:tcBorders>
              <w:left w:val="nil"/>
            </w:tcBorders>
          </w:tcPr>
          <w:p w14:paraId="1A344ABB" w14:textId="77777777" w:rsidR="00BC6590" w:rsidRPr="00BC6590" w:rsidRDefault="00BC6590" w:rsidP="0089119A">
            <w:pPr>
              <w:rPr>
                <w:rFonts w:ascii="Calibri" w:hAnsi="Calibri" w:cs="Calibri"/>
                <w:color w:val="000000"/>
              </w:rPr>
            </w:pPr>
            <w:r w:rsidRPr="00BC6590">
              <w:rPr>
                <w:rFonts w:ascii="Calibri" w:hAnsi="Calibri" w:cs="Calibri"/>
                <w:color w:val="000000"/>
              </w:rPr>
              <w:t>Project is financially feasible</w:t>
            </w:r>
          </w:p>
        </w:tc>
        <w:tc>
          <w:tcPr>
            <w:tcW w:w="535" w:type="dxa"/>
          </w:tcPr>
          <w:p w14:paraId="6323B20A" w14:textId="77777777" w:rsidR="00BC6590" w:rsidRPr="0054386E" w:rsidRDefault="00BC6590" w:rsidP="0089119A">
            <w:pPr>
              <w:jc w:val="center"/>
              <w:rPr>
                <w:b/>
                <w:smallCaps/>
              </w:rPr>
            </w:pPr>
          </w:p>
        </w:tc>
        <w:tc>
          <w:tcPr>
            <w:tcW w:w="536" w:type="dxa"/>
          </w:tcPr>
          <w:p w14:paraId="6B720CC3" w14:textId="77777777" w:rsidR="00BC6590" w:rsidRPr="0054386E" w:rsidRDefault="00BC6590" w:rsidP="0089119A">
            <w:pPr>
              <w:jc w:val="center"/>
              <w:rPr>
                <w:b/>
                <w:smallCaps/>
              </w:rPr>
            </w:pPr>
          </w:p>
        </w:tc>
        <w:tc>
          <w:tcPr>
            <w:tcW w:w="2454" w:type="dxa"/>
          </w:tcPr>
          <w:p w14:paraId="11607A98" w14:textId="77777777" w:rsidR="00BC6590" w:rsidRPr="0054386E" w:rsidRDefault="00BC6590" w:rsidP="0089119A">
            <w:pPr>
              <w:jc w:val="center"/>
              <w:rPr>
                <w:b/>
                <w:smallCaps/>
              </w:rPr>
            </w:pPr>
          </w:p>
        </w:tc>
      </w:tr>
      <w:tr w:rsidR="00BC6590" w:rsidRPr="0054386E" w14:paraId="52E6DAC3" w14:textId="77777777" w:rsidTr="0089119A">
        <w:tc>
          <w:tcPr>
            <w:tcW w:w="264" w:type="dxa"/>
            <w:tcBorders>
              <w:right w:val="nil"/>
            </w:tcBorders>
          </w:tcPr>
          <w:p w14:paraId="23D56DDA" w14:textId="77777777" w:rsidR="00BC6590" w:rsidRPr="0054386E" w:rsidRDefault="00BC6590" w:rsidP="0089119A">
            <w:pPr>
              <w:rPr>
                <w:b/>
                <w:smallCaps/>
              </w:rPr>
            </w:pPr>
          </w:p>
        </w:tc>
        <w:tc>
          <w:tcPr>
            <w:tcW w:w="6353" w:type="dxa"/>
            <w:tcBorders>
              <w:left w:val="nil"/>
            </w:tcBorders>
          </w:tcPr>
          <w:p w14:paraId="4DE3F905" w14:textId="77777777" w:rsidR="00BC6590" w:rsidRPr="00BC6590" w:rsidRDefault="00BC6590" w:rsidP="0089119A">
            <w:pPr>
              <w:rPr>
                <w:rFonts w:ascii="Calibri" w:hAnsi="Calibri" w:cs="Calibri"/>
                <w:color w:val="000000"/>
              </w:rPr>
            </w:pPr>
            <w:r w:rsidRPr="00BC6590">
              <w:rPr>
                <w:rFonts w:ascii="Calibri" w:hAnsi="Calibri" w:cs="Calibri"/>
                <w:color w:val="000000"/>
              </w:rPr>
              <w:t>Applicant is active CoC participant</w:t>
            </w:r>
            <w:r>
              <w:rPr>
                <w:rFonts w:ascii="Calibri" w:hAnsi="Calibri" w:cs="Calibri"/>
                <w:color w:val="000000"/>
              </w:rPr>
              <w:t xml:space="preserve"> (or commitment to participate)</w:t>
            </w:r>
          </w:p>
        </w:tc>
        <w:tc>
          <w:tcPr>
            <w:tcW w:w="535" w:type="dxa"/>
          </w:tcPr>
          <w:p w14:paraId="3DD510D4" w14:textId="77777777" w:rsidR="00BC6590" w:rsidRPr="0054386E" w:rsidRDefault="00BC6590" w:rsidP="0089119A">
            <w:pPr>
              <w:jc w:val="center"/>
              <w:rPr>
                <w:b/>
                <w:smallCaps/>
              </w:rPr>
            </w:pPr>
          </w:p>
        </w:tc>
        <w:tc>
          <w:tcPr>
            <w:tcW w:w="536" w:type="dxa"/>
          </w:tcPr>
          <w:p w14:paraId="31F370F4" w14:textId="77777777" w:rsidR="00BC6590" w:rsidRPr="0054386E" w:rsidRDefault="00BC6590" w:rsidP="0089119A">
            <w:pPr>
              <w:jc w:val="center"/>
              <w:rPr>
                <w:b/>
                <w:smallCaps/>
              </w:rPr>
            </w:pPr>
          </w:p>
        </w:tc>
        <w:tc>
          <w:tcPr>
            <w:tcW w:w="2454" w:type="dxa"/>
          </w:tcPr>
          <w:p w14:paraId="6341159C" w14:textId="77777777" w:rsidR="00BC6590" w:rsidRPr="0054386E" w:rsidRDefault="00BC6590" w:rsidP="0089119A">
            <w:pPr>
              <w:jc w:val="center"/>
              <w:rPr>
                <w:b/>
                <w:smallCaps/>
              </w:rPr>
            </w:pPr>
          </w:p>
        </w:tc>
      </w:tr>
      <w:tr w:rsidR="00BC6590" w:rsidRPr="0054386E" w14:paraId="7A44B6B2" w14:textId="77777777" w:rsidTr="0089119A">
        <w:tc>
          <w:tcPr>
            <w:tcW w:w="264" w:type="dxa"/>
            <w:tcBorders>
              <w:right w:val="nil"/>
            </w:tcBorders>
          </w:tcPr>
          <w:p w14:paraId="7D63438D" w14:textId="77777777" w:rsidR="00BC6590" w:rsidRPr="0054386E" w:rsidRDefault="00BC6590" w:rsidP="0089119A">
            <w:pPr>
              <w:rPr>
                <w:b/>
                <w:smallCaps/>
              </w:rPr>
            </w:pPr>
          </w:p>
        </w:tc>
        <w:tc>
          <w:tcPr>
            <w:tcW w:w="6353" w:type="dxa"/>
            <w:tcBorders>
              <w:left w:val="nil"/>
            </w:tcBorders>
          </w:tcPr>
          <w:p w14:paraId="64237AD2" w14:textId="77777777" w:rsidR="00BC6590" w:rsidRPr="00BC6590" w:rsidRDefault="00BC6590" w:rsidP="0089119A">
            <w:pPr>
              <w:rPr>
                <w:rFonts w:ascii="Calibri" w:hAnsi="Calibri" w:cs="Calibri"/>
                <w:color w:val="000000"/>
              </w:rPr>
            </w:pPr>
            <w:r w:rsidRPr="00BC6590">
              <w:rPr>
                <w:rFonts w:ascii="Calibri" w:hAnsi="Calibri" w:cs="Calibri"/>
                <w:color w:val="000000"/>
              </w:rPr>
              <w:t>Application is complete and data are consistent</w:t>
            </w:r>
          </w:p>
        </w:tc>
        <w:tc>
          <w:tcPr>
            <w:tcW w:w="535" w:type="dxa"/>
          </w:tcPr>
          <w:p w14:paraId="402BBB35" w14:textId="77777777" w:rsidR="00BC6590" w:rsidRPr="0054386E" w:rsidRDefault="00BC6590" w:rsidP="0089119A">
            <w:pPr>
              <w:jc w:val="center"/>
              <w:rPr>
                <w:b/>
                <w:smallCaps/>
              </w:rPr>
            </w:pPr>
          </w:p>
        </w:tc>
        <w:tc>
          <w:tcPr>
            <w:tcW w:w="536" w:type="dxa"/>
          </w:tcPr>
          <w:p w14:paraId="68B9AFD3" w14:textId="77777777" w:rsidR="00BC6590" w:rsidRPr="0054386E" w:rsidRDefault="00BC6590" w:rsidP="0089119A">
            <w:pPr>
              <w:jc w:val="center"/>
              <w:rPr>
                <w:b/>
                <w:smallCaps/>
              </w:rPr>
            </w:pPr>
          </w:p>
        </w:tc>
        <w:tc>
          <w:tcPr>
            <w:tcW w:w="2454" w:type="dxa"/>
          </w:tcPr>
          <w:p w14:paraId="369B2E1C" w14:textId="77777777" w:rsidR="00BC6590" w:rsidRPr="0054386E" w:rsidRDefault="00BC6590" w:rsidP="0089119A">
            <w:pPr>
              <w:jc w:val="center"/>
              <w:rPr>
                <w:b/>
                <w:smallCaps/>
              </w:rPr>
            </w:pPr>
          </w:p>
        </w:tc>
      </w:tr>
      <w:tr w:rsidR="00BC6590" w:rsidRPr="0054386E" w14:paraId="0CCFD77B" w14:textId="77777777" w:rsidTr="0089119A">
        <w:tc>
          <w:tcPr>
            <w:tcW w:w="264" w:type="dxa"/>
            <w:tcBorders>
              <w:right w:val="nil"/>
            </w:tcBorders>
          </w:tcPr>
          <w:p w14:paraId="0988F524" w14:textId="77777777" w:rsidR="00BC6590" w:rsidRPr="0054386E" w:rsidRDefault="00BC6590" w:rsidP="0089119A">
            <w:pPr>
              <w:rPr>
                <w:b/>
                <w:smallCaps/>
              </w:rPr>
            </w:pPr>
          </w:p>
        </w:tc>
        <w:tc>
          <w:tcPr>
            <w:tcW w:w="6353" w:type="dxa"/>
            <w:tcBorders>
              <w:left w:val="nil"/>
            </w:tcBorders>
          </w:tcPr>
          <w:p w14:paraId="663113A2" w14:textId="79B1FDAE" w:rsidR="00BC6590" w:rsidRPr="00BC6590" w:rsidRDefault="00BC6590" w:rsidP="0089119A">
            <w:pPr>
              <w:rPr>
                <w:rFonts w:ascii="Calibri" w:hAnsi="Calibri" w:cs="Calibri"/>
                <w:color w:val="000000"/>
              </w:rPr>
            </w:pPr>
            <w:r w:rsidRPr="00BC6590">
              <w:rPr>
                <w:rFonts w:ascii="Calibri" w:hAnsi="Calibri" w:cs="Calibri"/>
                <w:color w:val="000000"/>
              </w:rPr>
              <w:t>Data quality at or above 90%</w:t>
            </w:r>
          </w:p>
        </w:tc>
        <w:tc>
          <w:tcPr>
            <w:tcW w:w="535" w:type="dxa"/>
          </w:tcPr>
          <w:p w14:paraId="03CB187B" w14:textId="77777777" w:rsidR="00BC6590" w:rsidRPr="0054386E" w:rsidRDefault="00BC6590" w:rsidP="0089119A">
            <w:pPr>
              <w:jc w:val="center"/>
              <w:rPr>
                <w:b/>
                <w:smallCaps/>
              </w:rPr>
            </w:pPr>
          </w:p>
        </w:tc>
        <w:tc>
          <w:tcPr>
            <w:tcW w:w="536" w:type="dxa"/>
          </w:tcPr>
          <w:p w14:paraId="2176C601" w14:textId="77777777" w:rsidR="00BC6590" w:rsidRPr="0054386E" w:rsidRDefault="00BC6590" w:rsidP="0089119A">
            <w:pPr>
              <w:jc w:val="center"/>
              <w:rPr>
                <w:b/>
                <w:smallCaps/>
              </w:rPr>
            </w:pPr>
          </w:p>
        </w:tc>
        <w:tc>
          <w:tcPr>
            <w:tcW w:w="2454" w:type="dxa"/>
          </w:tcPr>
          <w:p w14:paraId="6496EB5A" w14:textId="77777777" w:rsidR="00BC6590" w:rsidRPr="0054386E" w:rsidRDefault="00BC6590" w:rsidP="0089119A">
            <w:pPr>
              <w:jc w:val="center"/>
              <w:rPr>
                <w:b/>
                <w:smallCaps/>
              </w:rPr>
            </w:pPr>
          </w:p>
        </w:tc>
      </w:tr>
      <w:tr w:rsidR="00BC6590" w:rsidRPr="0054386E" w14:paraId="358500BC" w14:textId="77777777" w:rsidTr="0089119A">
        <w:tc>
          <w:tcPr>
            <w:tcW w:w="264" w:type="dxa"/>
            <w:tcBorders>
              <w:right w:val="nil"/>
            </w:tcBorders>
          </w:tcPr>
          <w:p w14:paraId="02524CF0" w14:textId="77777777" w:rsidR="00BC6590" w:rsidRPr="0054386E" w:rsidRDefault="00BC6590" w:rsidP="0089119A">
            <w:pPr>
              <w:rPr>
                <w:b/>
                <w:smallCaps/>
              </w:rPr>
            </w:pPr>
          </w:p>
        </w:tc>
        <w:tc>
          <w:tcPr>
            <w:tcW w:w="6353" w:type="dxa"/>
            <w:tcBorders>
              <w:left w:val="nil"/>
            </w:tcBorders>
          </w:tcPr>
          <w:p w14:paraId="2A5E45D7" w14:textId="505B450F" w:rsidR="00BC6590" w:rsidRPr="00BC6590" w:rsidRDefault="00BC6590" w:rsidP="0089119A">
            <w:pPr>
              <w:rPr>
                <w:rFonts w:ascii="Calibri" w:hAnsi="Calibri" w:cs="Calibri"/>
                <w:color w:val="000000"/>
              </w:rPr>
            </w:pPr>
            <w:r w:rsidRPr="00BC6590">
              <w:rPr>
                <w:rFonts w:ascii="Calibri" w:hAnsi="Calibri" w:cs="Calibri"/>
                <w:color w:val="000000"/>
              </w:rPr>
              <w:t>Bed/unit utilization rate at or above 90%</w:t>
            </w:r>
          </w:p>
        </w:tc>
        <w:tc>
          <w:tcPr>
            <w:tcW w:w="535" w:type="dxa"/>
          </w:tcPr>
          <w:p w14:paraId="7DAA1ADA" w14:textId="77777777" w:rsidR="00BC6590" w:rsidRPr="0054386E" w:rsidRDefault="00BC6590" w:rsidP="0089119A">
            <w:pPr>
              <w:jc w:val="center"/>
              <w:rPr>
                <w:b/>
                <w:smallCaps/>
              </w:rPr>
            </w:pPr>
          </w:p>
        </w:tc>
        <w:tc>
          <w:tcPr>
            <w:tcW w:w="536" w:type="dxa"/>
          </w:tcPr>
          <w:p w14:paraId="01D5148F" w14:textId="77777777" w:rsidR="00BC6590" w:rsidRPr="0054386E" w:rsidRDefault="00BC6590" w:rsidP="0089119A">
            <w:pPr>
              <w:jc w:val="center"/>
              <w:rPr>
                <w:b/>
                <w:smallCaps/>
              </w:rPr>
            </w:pPr>
          </w:p>
        </w:tc>
        <w:tc>
          <w:tcPr>
            <w:tcW w:w="2454" w:type="dxa"/>
          </w:tcPr>
          <w:p w14:paraId="6682730F" w14:textId="77777777" w:rsidR="00BC6590" w:rsidRPr="0054386E" w:rsidRDefault="00BC6590" w:rsidP="0089119A">
            <w:pPr>
              <w:jc w:val="center"/>
              <w:rPr>
                <w:b/>
                <w:smallCaps/>
              </w:rPr>
            </w:pPr>
          </w:p>
        </w:tc>
      </w:tr>
      <w:tr w:rsidR="00BC6590" w:rsidRPr="0054386E" w14:paraId="171EEA96" w14:textId="77777777" w:rsidTr="0089119A">
        <w:tc>
          <w:tcPr>
            <w:tcW w:w="264" w:type="dxa"/>
            <w:tcBorders>
              <w:right w:val="nil"/>
            </w:tcBorders>
          </w:tcPr>
          <w:p w14:paraId="3921B24A" w14:textId="77777777" w:rsidR="00BC6590" w:rsidRPr="0054386E" w:rsidRDefault="00BC6590" w:rsidP="0089119A">
            <w:pPr>
              <w:rPr>
                <w:b/>
                <w:smallCaps/>
              </w:rPr>
            </w:pPr>
          </w:p>
        </w:tc>
        <w:tc>
          <w:tcPr>
            <w:tcW w:w="6353" w:type="dxa"/>
            <w:tcBorders>
              <w:left w:val="nil"/>
            </w:tcBorders>
          </w:tcPr>
          <w:p w14:paraId="5CC1A2D0" w14:textId="77777777" w:rsidR="00BC6590" w:rsidRPr="00BC6590" w:rsidRDefault="00BC6590" w:rsidP="0089119A">
            <w:pPr>
              <w:rPr>
                <w:rFonts w:ascii="Calibri" w:hAnsi="Calibri" w:cs="Calibri"/>
                <w:color w:val="000000"/>
              </w:rPr>
            </w:pPr>
            <w:r w:rsidRPr="00BC6590">
              <w:rPr>
                <w:rFonts w:ascii="Calibri" w:hAnsi="Calibri" w:cs="Calibri"/>
                <w:color w:val="000000"/>
              </w:rPr>
              <w:t>Acceptable organizational audit/financial review</w:t>
            </w:r>
          </w:p>
        </w:tc>
        <w:tc>
          <w:tcPr>
            <w:tcW w:w="535" w:type="dxa"/>
          </w:tcPr>
          <w:p w14:paraId="0B8FEEEA" w14:textId="77777777" w:rsidR="00BC6590" w:rsidRPr="0054386E" w:rsidRDefault="00BC6590" w:rsidP="0089119A">
            <w:pPr>
              <w:jc w:val="center"/>
              <w:rPr>
                <w:b/>
                <w:smallCaps/>
              </w:rPr>
            </w:pPr>
          </w:p>
        </w:tc>
        <w:tc>
          <w:tcPr>
            <w:tcW w:w="536" w:type="dxa"/>
          </w:tcPr>
          <w:p w14:paraId="2BCD4952" w14:textId="77777777" w:rsidR="00BC6590" w:rsidRPr="0054386E" w:rsidRDefault="00BC6590" w:rsidP="0089119A">
            <w:pPr>
              <w:jc w:val="center"/>
              <w:rPr>
                <w:b/>
                <w:smallCaps/>
              </w:rPr>
            </w:pPr>
          </w:p>
        </w:tc>
        <w:tc>
          <w:tcPr>
            <w:tcW w:w="2454" w:type="dxa"/>
          </w:tcPr>
          <w:p w14:paraId="7D829F1C" w14:textId="77777777" w:rsidR="00BC6590" w:rsidRPr="0054386E" w:rsidRDefault="00BC6590" w:rsidP="0089119A">
            <w:pPr>
              <w:jc w:val="center"/>
              <w:rPr>
                <w:b/>
                <w:smallCaps/>
              </w:rPr>
            </w:pPr>
          </w:p>
        </w:tc>
      </w:tr>
      <w:tr w:rsidR="00BC6590" w:rsidRPr="0054386E" w14:paraId="1CD12B4A" w14:textId="77777777" w:rsidTr="0089119A">
        <w:tc>
          <w:tcPr>
            <w:tcW w:w="264" w:type="dxa"/>
            <w:tcBorders>
              <w:right w:val="nil"/>
            </w:tcBorders>
          </w:tcPr>
          <w:p w14:paraId="181A483F" w14:textId="77777777" w:rsidR="00BC6590" w:rsidRPr="0054386E" w:rsidRDefault="00BC6590" w:rsidP="0089119A">
            <w:pPr>
              <w:rPr>
                <w:b/>
                <w:smallCaps/>
              </w:rPr>
            </w:pPr>
          </w:p>
        </w:tc>
        <w:tc>
          <w:tcPr>
            <w:tcW w:w="6353" w:type="dxa"/>
            <w:tcBorders>
              <w:left w:val="nil"/>
            </w:tcBorders>
          </w:tcPr>
          <w:p w14:paraId="435264DD" w14:textId="77777777" w:rsidR="00BC6590" w:rsidRPr="00BC6590" w:rsidRDefault="00BC6590" w:rsidP="0089119A">
            <w:pPr>
              <w:rPr>
                <w:rFonts w:ascii="Calibri" w:hAnsi="Calibri" w:cs="Calibri"/>
                <w:color w:val="000000"/>
              </w:rPr>
            </w:pPr>
            <w:r w:rsidRPr="00BC6590">
              <w:rPr>
                <w:rFonts w:ascii="Calibri" w:hAnsi="Calibri" w:cs="Calibri"/>
                <w:color w:val="000000"/>
              </w:rPr>
              <w:t>Documented organizational financial stability</w:t>
            </w:r>
          </w:p>
        </w:tc>
        <w:tc>
          <w:tcPr>
            <w:tcW w:w="535" w:type="dxa"/>
          </w:tcPr>
          <w:p w14:paraId="4AF4532B" w14:textId="77777777" w:rsidR="00BC6590" w:rsidRPr="0054386E" w:rsidRDefault="00BC6590" w:rsidP="0089119A">
            <w:pPr>
              <w:jc w:val="center"/>
              <w:rPr>
                <w:b/>
                <w:smallCaps/>
              </w:rPr>
            </w:pPr>
          </w:p>
        </w:tc>
        <w:tc>
          <w:tcPr>
            <w:tcW w:w="536" w:type="dxa"/>
          </w:tcPr>
          <w:p w14:paraId="1A276D25" w14:textId="77777777" w:rsidR="00BC6590" w:rsidRPr="0054386E" w:rsidRDefault="00BC6590" w:rsidP="0089119A">
            <w:pPr>
              <w:jc w:val="center"/>
              <w:rPr>
                <w:b/>
                <w:smallCaps/>
              </w:rPr>
            </w:pPr>
          </w:p>
        </w:tc>
        <w:tc>
          <w:tcPr>
            <w:tcW w:w="2454" w:type="dxa"/>
          </w:tcPr>
          <w:p w14:paraId="7592D3B8" w14:textId="77777777" w:rsidR="00BC6590" w:rsidRPr="0054386E" w:rsidRDefault="00BC6590" w:rsidP="0089119A">
            <w:pPr>
              <w:jc w:val="center"/>
              <w:rPr>
                <w:b/>
                <w:smallCaps/>
              </w:rPr>
            </w:pPr>
          </w:p>
        </w:tc>
      </w:tr>
    </w:tbl>
    <w:p w14:paraId="2D4A4AFA" w14:textId="77777777" w:rsidR="009A30D5" w:rsidRDefault="009A30D5" w:rsidP="009A30D5"/>
    <w:p w14:paraId="2466945C" w14:textId="02587746" w:rsidR="00813BF8" w:rsidRDefault="00813BF8">
      <w:r>
        <w:br w:type="page"/>
      </w:r>
    </w:p>
    <w:p w14:paraId="16E46F48" w14:textId="2E0C3B1E" w:rsidR="00813BF8" w:rsidRPr="00813BF8" w:rsidRDefault="00813BF8" w:rsidP="00813BF8">
      <w:pPr>
        <w:spacing w:line="240" w:lineRule="auto"/>
        <w:rPr>
          <w:b/>
          <w:color w:val="CF7347"/>
          <w:kern w:val="16"/>
          <w:sz w:val="24"/>
          <w:szCs w:val="24"/>
        </w:rPr>
      </w:pPr>
      <w:r>
        <w:rPr>
          <w:b/>
          <w:color w:val="CF7347"/>
          <w:kern w:val="16"/>
          <w:sz w:val="24"/>
          <w:szCs w:val="24"/>
        </w:rPr>
        <w:lastRenderedPageBreak/>
        <w:t>APPENDIX C</w:t>
      </w:r>
    </w:p>
    <w:tbl>
      <w:tblPr>
        <w:tblStyle w:val="TableGrid"/>
        <w:tblW w:w="10890" w:type="dxa"/>
        <w:tblInd w:w="-252" w:type="dxa"/>
        <w:tblLook w:val="04A0" w:firstRow="1" w:lastRow="0" w:firstColumn="1" w:lastColumn="0" w:noHBand="0" w:noVBand="1"/>
      </w:tblPr>
      <w:tblGrid>
        <w:gridCol w:w="6907"/>
        <w:gridCol w:w="2340"/>
        <w:gridCol w:w="1643"/>
      </w:tblGrid>
      <w:tr w:rsidR="00813BF8" w14:paraId="19861DD8" w14:textId="77777777" w:rsidTr="007C4106">
        <w:tc>
          <w:tcPr>
            <w:tcW w:w="10890" w:type="dxa"/>
            <w:gridSpan w:val="3"/>
            <w:shd w:val="clear" w:color="auto" w:fill="000000" w:themeFill="text1"/>
          </w:tcPr>
          <w:p w14:paraId="459FAB94" w14:textId="58D74E98" w:rsidR="00813BF8" w:rsidRDefault="00813BF8" w:rsidP="00813BF8">
            <w:pPr>
              <w:jc w:val="center"/>
              <w:rPr>
                <w:b/>
                <w:color w:val="CF7347"/>
                <w:sz w:val="28"/>
              </w:rPr>
            </w:pPr>
            <w:r>
              <w:rPr>
                <w:b/>
                <w:color w:val="FFFFFF"/>
                <w:sz w:val="28"/>
              </w:rPr>
              <w:t>FY2021</w:t>
            </w:r>
            <w:r w:rsidRPr="00FD59E3">
              <w:rPr>
                <w:b/>
                <w:color w:val="FFFFFF"/>
                <w:sz w:val="28"/>
              </w:rPr>
              <w:t xml:space="preserve"> CoC </w:t>
            </w:r>
            <w:r w:rsidRPr="0033716C">
              <w:rPr>
                <w:b/>
                <w:color w:val="FFFFFF"/>
                <w:sz w:val="28"/>
              </w:rPr>
              <w:t xml:space="preserve">Renewal </w:t>
            </w:r>
            <w:r>
              <w:rPr>
                <w:b/>
                <w:color w:val="FFFFFF"/>
                <w:sz w:val="28"/>
              </w:rPr>
              <w:t>Project –Scoring Tool</w:t>
            </w:r>
          </w:p>
        </w:tc>
      </w:tr>
      <w:tr w:rsidR="00813BF8" w14:paraId="0643F052" w14:textId="77777777" w:rsidTr="007C4106">
        <w:tc>
          <w:tcPr>
            <w:tcW w:w="6907" w:type="dxa"/>
            <w:shd w:val="clear" w:color="auto" w:fill="BFBFBF" w:themeFill="background1" w:themeFillShade="BF"/>
            <w:vAlign w:val="center"/>
          </w:tcPr>
          <w:p w14:paraId="4933A01D" w14:textId="77777777" w:rsidR="00813BF8" w:rsidRPr="00142783" w:rsidRDefault="00813BF8" w:rsidP="00E648E3">
            <w:pPr>
              <w:rPr>
                <w:b/>
              </w:rPr>
            </w:pPr>
            <w:r w:rsidRPr="00142783">
              <w:rPr>
                <w:b/>
              </w:rPr>
              <w:t>Outcome</w:t>
            </w:r>
          </w:p>
        </w:tc>
        <w:tc>
          <w:tcPr>
            <w:tcW w:w="2340" w:type="dxa"/>
            <w:shd w:val="clear" w:color="auto" w:fill="BFBFBF" w:themeFill="background1" w:themeFillShade="BF"/>
            <w:vAlign w:val="center"/>
          </w:tcPr>
          <w:p w14:paraId="5C925EA9" w14:textId="030C7551" w:rsidR="00813BF8" w:rsidRPr="00142783" w:rsidRDefault="003B7B8D" w:rsidP="00E648E3">
            <w:pPr>
              <w:jc w:val="center"/>
              <w:rPr>
                <w:b/>
              </w:rPr>
            </w:pPr>
            <w:r>
              <w:rPr>
                <w:b/>
              </w:rPr>
              <w:t>Factor Goal</w:t>
            </w:r>
          </w:p>
        </w:tc>
        <w:tc>
          <w:tcPr>
            <w:tcW w:w="1643" w:type="dxa"/>
            <w:shd w:val="clear" w:color="auto" w:fill="BFBFBF" w:themeFill="background1" w:themeFillShade="BF"/>
            <w:vAlign w:val="center"/>
          </w:tcPr>
          <w:p w14:paraId="76466956" w14:textId="79081BCE" w:rsidR="00813BF8" w:rsidRPr="00142783" w:rsidRDefault="003B7B8D" w:rsidP="00E648E3">
            <w:pPr>
              <w:rPr>
                <w:b/>
              </w:rPr>
            </w:pPr>
            <w:r>
              <w:rPr>
                <w:b/>
              </w:rPr>
              <w:t xml:space="preserve">Max </w:t>
            </w:r>
          </w:p>
        </w:tc>
      </w:tr>
      <w:tr w:rsidR="008A7205" w14:paraId="29CCE625" w14:textId="77777777" w:rsidTr="00E648E3">
        <w:trPr>
          <w:trHeight w:val="471"/>
        </w:trPr>
        <w:tc>
          <w:tcPr>
            <w:tcW w:w="10890" w:type="dxa"/>
            <w:gridSpan w:val="3"/>
            <w:shd w:val="clear" w:color="auto" w:fill="D9D9D9" w:themeFill="background1" w:themeFillShade="D9"/>
            <w:vAlign w:val="center"/>
          </w:tcPr>
          <w:p w14:paraId="687D4BAC" w14:textId="6E523564" w:rsidR="008A7205" w:rsidRPr="002703B0" w:rsidRDefault="008A7205" w:rsidP="00E648E3">
            <w:pPr>
              <w:autoSpaceDE w:val="0"/>
              <w:autoSpaceDN w:val="0"/>
              <w:adjustRightInd w:val="0"/>
              <w:rPr>
                <w:rFonts w:cs="Calibri"/>
                <w:color w:val="000000"/>
              </w:rPr>
            </w:pPr>
            <w:r>
              <w:rPr>
                <w:b/>
              </w:rPr>
              <w:t>Length of stay</w:t>
            </w:r>
          </w:p>
        </w:tc>
      </w:tr>
      <w:tr w:rsidR="00813BF8" w14:paraId="6E31EF39" w14:textId="77777777" w:rsidTr="007C4106">
        <w:trPr>
          <w:trHeight w:val="885"/>
        </w:trPr>
        <w:tc>
          <w:tcPr>
            <w:tcW w:w="6907" w:type="dxa"/>
            <w:vAlign w:val="center"/>
          </w:tcPr>
          <w:p w14:paraId="2AA903AD" w14:textId="61315D8E" w:rsidR="00813BF8" w:rsidRDefault="008A7205" w:rsidP="008A7205">
            <w:pPr>
              <w:ind w:left="720"/>
              <w:rPr>
                <w:b/>
              </w:rPr>
            </w:pPr>
            <w:r>
              <w:rPr>
                <w:b/>
              </w:rPr>
              <w:t xml:space="preserve">Rapid Rehousing – </w:t>
            </w:r>
            <w:r w:rsidRPr="008A7205">
              <w:t>On average, participants spend 30 days or less from project entry to residential move-</w:t>
            </w:r>
            <w:r>
              <w:t>i</w:t>
            </w:r>
            <w:r w:rsidRPr="008A7205">
              <w:t xml:space="preserve">n </w:t>
            </w:r>
          </w:p>
          <w:p w14:paraId="5984D017" w14:textId="6C7AED4F" w:rsidR="008A7205" w:rsidRPr="00142783" w:rsidRDefault="008A7205" w:rsidP="00E648E3">
            <w:pPr>
              <w:ind w:left="720"/>
            </w:pPr>
          </w:p>
        </w:tc>
        <w:tc>
          <w:tcPr>
            <w:tcW w:w="2340" w:type="dxa"/>
            <w:vAlign w:val="center"/>
          </w:tcPr>
          <w:p w14:paraId="572FF2AC" w14:textId="4E7A60AF" w:rsidR="00813BF8" w:rsidRPr="00142783" w:rsidRDefault="008A7205" w:rsidP="00E648E3">
            <w:pPr>
              <w:jc w:val="center"/>
            </w:pPr>
            <w:r>
              <w:t xml:space="preserve">30 days </w:t>
            </w:r>
          </w:p>
        </w:tc>
        <w:tc>
          <w:tcPr>
            <w:tcW w:w="1643" w:type="dxa"/>
            <w:vAlign w:val="center"/>
          </w:tcPr>
          <w:p w14:paraId="23BB9438" w14:textId="2C224E2E" w:rsidR="00813BF8" w:rsidRPr="00142783" w:rsidRDefault="008A7205" w:rsidP="00E648E3">
            <w:pPr>
              <w:autoSpaceDE w:val="0"/>
              <w:autoSpaceDN w:val="0"/>
              <w:adjustRightInd w:val="0"/>
              <w:rPr>
                <w:rFonts w:cs="Calibri"/>
                <w:color w:val="000000"/>
              </w:rPr>
            </w:pPr>
            <w:r>
              <w:rPr>
                <w:rFonts w:cs="Calibri"/>
                <w:color w:val="000000"/>
              </w:rPr>
              <w:t>20</w:t>
            </w:r>
            <w:r w:rsidR="00813BF8" w:rsidRPr="00142783">
              <w:rPr>
                <w:rFonts w:cs="Calibri"/>
                <w:color w:val="000000"/>
              </w:rPr>
              <w:t xml:space="preserve"> </w:t>
            </w:r>
            <w:r>
              <w:rPr>
                <w:rFonts w:cs="Calibri"/>
                <w:color w:val="000000"/>
              </w:rPr>
              <w:t xml:space="preserve"> points</w:t>
            </w:r>
          </w:p>
        </w:tc>
      </w:tr>
      <w:tr w:rsidR="00E648E3" w14:paraId="6FA282F3" w14:textId="77777777" w:rsidTr="007C4106">
        <w:trPr>
          <w:trHeight w:val="885"/>
        </w:trPr>
        <w:tc>
          <w:tcPr>
            <w:tcW w:w="6907" w:type="dxa"/>
            <w:vAlign w:val="center"/>
          </w:tcPr>
          <w:p w14:paraId="6616EE40" w14:textId="77777777" w:rsidR="00E648E3" w:rsidRDefault="00E648E3" w:rsidP="00E648E3">
            <w:pPr>
              <w:ind w:left="720"/>
            </w:pPr>
            <w:r>
              <w:rPr>
                <w:b/>
              </w:rPr>
              <w:t xml:space="preserve">Permanent Supportive Housing </w:t>
            </w:r>
            <w:r w:rsidRPr="008A7205">
              <w:t>– On average, participants spend 30 days or less from project entry to residential move-</w:t>
            </w:r>
            <w:r>
              <w:t>i</w:t>
            </w:r>
            <w:r w:rsidRPr="008A7205">
              <w:t>n</w:t>
            </w:r>
          </w:p>
          <w:p w14:paraId="5D59724E" w14:textId="77777777" w:rsidR="00E648E3" w:rsidRDefault="00E648E3" w:rsidP="00E648E3">
            <w:pPr>
              <w:ind w:left="720"/>
              <w:rPr>
                <w:b/>
              </w:rPr>
            </w:pPr>
          </w:p>
        </w:tc>
        <w:tc>
          <w:tcPr>
            <w:tcW w:w="2340" w:type="dxa"/>
            <w:vAlign w:val="center"/>
          </w:tcPr>
          <w:p w14:paraId="4B830A47" w14:textId="27DBA5E8" w:rsidR="00E648E3" w:rsidRDefault="00E648E3" w:rsidP="00E648E3">
            <w:pPr>
              <w:jc w:val="center"/>
            </w:pPr>
            <w:r>
              <w:t xml:space="preserve">30 days </w:t>
            </w:r>
          </w:p>
        </w:tc>
        <w:tc>
          <w:tcPr>
            <w:tcW w:w="1643" w:type="dxa"/>
            <w:vAlign w:val="center"/>
          </w:tcPr>
          <w:p w14:paraId="7D2E2DDD" w14:textId="307876D8" w:rsidR="00E648E3" w:rsidRDefault="00E648E3" w:rsidP="00E648E3">
            <w:pPr>
              <w:autoSpaceDE w:val="0"/>
              <w:autoSpaceDN w:val="0"/>
              <w:adjustRightInd w:val="0"/>
              <w:rPr>
                <w:rFonts w:cs="Calibri"/>
                <w:color w:val="000000"/>
              </w:rPr>
            </w:pPr>
            <w:r>
              <w:rPr>
                <w:rFonts w:cs="Calibri"/>
                <w:color w:val="000000"/>
              </w:rPr>
              <w:t>20</w:t>
            </w:r>
            <w:r w:rsidRPr="00142783">
              <w:rPr>
                <w:rFonts w:cs="Calibri"/>
                <w:color w:val="000000"/>
              </w:rPr>
              <w:t xml:space="preserve"> </w:t>
            </w:r>
            <w:r>
              <w:rPr>
                <w:rFonts w:cs="Calibri"/>
                <w:color w:val="000000"/>
              </w:rPr>
              <w:t xml:space="preserve"> points</w:t>
            </w:r>
          </w:p>
        </w:tc>
      </w:tr>
      <w:tr w:rsidR="00E648E3" w14:paraId="47F55128" w14:textId="77777777" w:rsidTr="007C4106">
        <w:tc>
          <w:tcPr>
            <w:tcW w:w="6907" w:type="dxa"/>
            <w:vAlign w:val="center"/>
          </w:tcPr>
          <w:p w14:paraId="40B60929" w14:textId="77777777" w:rsidR="00E648E3" w:rsidRDefault="00E648E3" w:rsidP="00E648E3">
            <w:pPr>
              <w:autoSpaceDE w:val="0"/>
              <w:autoSpaceDN w:val="0"/>
              <w:adjustRightInd w:val="0"/>
              <w:ind w:left="720"/>
              <w:rPr>
                <w:b/>
              </w:rPr>
            </w:pPr>
            <w:r>
              <w:rPr>
                <w:b/>
              </w:rPr>
              <w:t xml:space="preserve">Transitional Housing – </w:t>
            </w:r>
            <w:r w:rsidRPr="008A7205">
              <w:t>On average, participants stay in project for less than 180 days.</w:t>
            </w:r>
            <w:r>
              <w:rPr>
                <w:b/>
              </w:rPr>
              <w:t xml:space="preserve"> </w:t>
            </w:r>
          </w:p>
          <w:p w14:paraId="572F5083" w14:textId="19FE0297" w:rsidR="00E648E3" w:rsidRPr="00142783" w:rsidRDefault="00E648E3" w:rsidP="00E648E3">
            <w:pPr>
              <w:autoSpaceDE w:val="0"/>
              <w:autoSpaceDN w:val="0"/>
              <w:adjustRightInd w:val="0"/>
              <w:ind w:left="720"/>
            </w:pPr>
          </w:p>
        </w:tc>
        <w:tc>
          <w:tcPr>
            <w:tcW w:w="2340" w:type="dxa"/>
            <w:vAlign w:val="center"/>
          </w:tcPr>
          <w:p w14:paraId="4D309B17" w14:textId="53CCAA30" w:rsidR="00E648E3" w:rsidRPr="00142783" w:rsidRDefault="00E648E3" w:rsidP="00E648E3">
            <w:pPr>
              <w:jc w:val="center"/>
            </w:pPr>
            <w:r>
              <w:t xml:space="preserve">180 days </w:t>
            </w:r>
          </w:p>
        </w:tc>
        <w:tc>
          <w:tcPr>
            <w:tcW w:w="1643" w:type="dxa"/>
            <w:vAlign w:val="center"/>
          </w:tcPr>
          <w:p w14:paraId="0B1F39B3" w14:textId="3B8B6554" w:rsidR="00E648E3" w:rsidRPr="002703B0" w:rsidRDefault="00E648E3" w:rsidP="00E648E3">
            <w:pPr>
              <w:autoSpaceDE w:val="0"/>
              <w:autoSpaceDN w:val="0"/>
              <w:adjustRightInd w:val="0"/>
              <w:rPr>
                <w:rFonts w:cs="Calibri"/>
                <w:color w:val="000000"/>
              </w:rPr>
            </w:pPr>
            <w:r>
              <w:rPr>
                <w:rFonts w:cs="Calibri"/>
                <w:color w:val="000000"/>
              </w:rPr>
              <w:t>20</w:t>
            </w:r>
            <w:r w:rsidRPr="00142783">
              <w:rPr>
                <w:rFonts w:cs="Calibri"/>
                <w:color w:val="000000"/>
              </w:rPr>
              <w:t xml:space="preserve"> </w:t>
            </w:r>
            <w:r>
              <w:rPr>
                <w:rFonts w:cs="Calibri"/>
                <w:color w:val="000000"/>
              </w:rPr>
              <w:t xml:space="preserve"> points</w:t>
            </w:r>
          </w:p>
        </w:tc>
      </w:tr>
      <w:tr w:rsidR="00E648E3" w14:paraId="46960CCC" w14:textId="77777777" w:rsidTr="00E648E3">
        <w:trPr>
          <w:trHeight w:val="462"/>
        </w:trPr>
        <w:tc>
          <w:tcPr>
            <w:tcW w:w="10890" w:type="dxa"/>
            <w:gridSpan w:val="3"/>
            <w:shd w:val="clear" w:color="auto" w:fill="D9D9D9" w:themeFill="background1" w:themeFillShade="D9"/>
            <w:vAlign w:val="center"/>
          </w:tcPr>
          <w:p w14:paraId="7414372F" w14:textId="6379C357" w:rsidR="00E648E3" w:rsidRPr="008A7205" w:rsidRDefault="00E648E3" w:rsidP="00E648E3">
            <w:pPr>
              <w:autoSpaceDE w:val="0"/>
              <w:autoSpaceDN w:val="0"/>
              <w:adjustRightInd w:val="0"/>
              <w:rPr>
                <w:rFonts w:cs="Calibri"/>
                <w:b/>
                <w:color w:val="000000"/>
              </w:rPr>
            </w:pPr>
            <w:r>
              <w:rPr>
                <w:rFonts w:cs="Calibri"/>
                <w:b/>
                <w:color w:val="000000"/>
              </w:rPr>
              <w:t>Exits to Permanent Housing</w:t>
            </w:r>
          </w:p>
        </w:tc>
      </w:tr>
      <w:tr w:rsidR="00E648E3" w14:paraId="4549D659" w14:textId="77777777" w:rsidTr="007C4106">
        <w:trPr>
          <w:trHeight w:val="903"/>
        </w:trPr>
        <w:tc>
          <w:tcPr>
            <w:tcW w:w="6907" w:type="dxa"/>
            <w:vAlign w:val="center"/>
          </w:tcPr>
          <w:p w14:paraId="2E30E65F" w14:textId="02A87FEB" w:rsidR="00E648E3" w:rsidRPr="00142783" w:rsidRDefault="00E648E3" w:rsidP="00E648E3">
            <w:pPr>
              <w:ind w:left="720"/>
              <w:rPr>
                <w:b/>
              </w:rPr>
            </w:pPr>
            <w:r>
              <w:rPr>
                <w:b/>
              </w:rPr>
              <w:t>Rapid Rehousing –</w:t>
            </w:r>
            <w:r>
              <w:t xml:space="preserve"> 75% move to permanent housing </w:t>
            </w:r>
            <w:r w:rsidRPr="008A7205">
              <w:t xml:space="preserve"> </w:t>
            </w:r>
          </w:p>
        </w:tc>
        <w:tc>
          <w:tcPr>
            <w:tcW w:w="2340" w:type="dxa"/>
            <w:vAlign w:val="center"/>
          </w:tcPr>
          <w:p w14:paraId="2502A10E" w14:textId="4158F93A" w:rsidR="00E648E3" w:rsidRDefault="00E648E3" w:rsidP="00E648E3">
            <w:pPr>
              <w:jc w:val="center"/>
            </w:pPr>
            <w:r>
              <w:t>75%</w:t>
            </w:r>
          </w:p>
        </w:tc>
        <w:tc>
          <w:tcPr>
            <w:tcW w:w="1643" w:type="dxa"/>
            <w:vAlign w:val="center"/>
          </w:tcPr>
          <w:p w14:paraId="70E9680E" w14:textId="2F50FC80" w:rsidR="00E648E3" w:rsidRPr="00142783" w:rsidRDefault="00E648E3" w:rsidP="00E648E3">
            <w:pPr>
              <w:autoSpaceDE w:val="0"/>
              <w:autoSpaceDN w:val="0"/>
              <w:adjustRightInd w:val="0"/>
              <w:rPr>
                <w:rFonts w:cs="Calibri"/>
                <w:color w:val="000000"/>
              </w:rPr>
            </w:pPr>
            <w:r>
              <w:rPr>
                <w:rFonts w:cs="Calibri"/>
                <w:color w:val="000000"/>
              </w:rPr>
              <w:t>25</w:t>
            </w:r>
            <w:r w:rsidRPr="00142783">
              <w:rPr>
                <w:rFonts w:cs="Calibri"/>
                <w:color w:val="000000"/>
              </w:rPr>
              <w:t xml:space="preserve"> </w:t>
            </w:r>
            <w:r>
              <w:rPr>
                <w:rFonts w:cs="Calibri"/>
                <w:color w:val="000000"/>
              </w:rPr>
              <w:t xml:space="preserve"> points</w:t>
            </w:r>
          </w:p>
        </w:tc>
      </w:tr>
      <w:tr w:rsidR="00E648E3" w14:paraId="5B28E887" w14:textId="77777777" w:rsidTr="007C4106">
        <w:trPr>
          <w:trHeight w:val="1083"/>
        </w:trPr>
        <w:tc>
          <w:tcPr>
            <w:tcW w:w="6907" w:type="dxa"/>
            <w:vAlign w:val="center"/>
          </w:tcPr>
          <w:p w14:paraId="6627214B" w14:textId="14B7E437" w:rsidR="00E648E3" w:rsidRDefault="00E648E3" w:rsidP="00E648E3">
            <w:pPr>
              <w:ind w:left="720"/>
              <w:rPr>
                <w:b/>
              </w:rPr>
            </w:pPr>
            <w:r>
              <w:rPr>
                <w:b/>
              </w:rPr>
              <w:t xml:space="preserve">Permanent Supportive Housing </w:t>
            </w:r>
            <w:r w:rsidRPr="008A7205">
              <w:t xml:space="preserve">– </w:t>
            </w:r>
            <w:r>
              <w:t xml:space="preserve">75% remain in or move to permanent housing </w:t>
            </w:r>
            <w:r w:rsidRPr="008A7205">
              <w:t xml:space="preserve"> </w:t>
            </w:r>
          </w:p>
        </w:tc>
        <w:tc>
          <w:tcPr>
            <w:tcW w:w="2340" w:type="dxa"/>
            <w:vAlign w:val="center"/>
          </w:tcPr>
          <w:p w14:paraId="06352446" w14:textId="346B3F35" w:rsidR="00E648E3" w:rsidRDefault="00E648E3" w:rsidP="00E648E3">
            <w:pPr>
              <w:jc w:val="center"/>
            </w:pPr>
            <w:r>
              <w:t>90%</w:t>
            </w:r>
          </w:p>
        </w:tc>
        <w:tc>
          <w:tcPr>
            <w:tcW w:w="1643" w:type="dxa"/>
            <w:vAlign w:val="center"/>
          </w:tcPr>
          <w:p w14:paraId="3FBD45BB" w14:textId="142885D8" w:rsidR="00E648E3" w:rsidRDefault="00E648E3" w:rsidP="00E648E3">
            <w:pPr>
              <w:autoSpaceDE w:val="0"/>
              <w:autoSpaceDN w:val="0"/>
              <w:adjustRightInd w:val="0"/>
              <w:rPr>
                <w:rFonts w:cs="Calibri"/>
                <w:color w:val="000000"/>
              </w:rPr>
            </w:pPr>
            <w:r>
              <w:rPr>
                <w:rFonts w:cs="Calibri"/>
                <w:color w:val="000000"/>
              </w:rPr>
              <w:t>25</w:t>
            </w:r>
            <w:r w:rsidRPr="00142783">
              <w:rPr>
                <w:rFonts w:cs="Calibri"/>
                <w:color w:val="000000"/>
              </w:rPr>
              <w:t xml:space="preserve"> </w:t>
            </w:r>
            <w:r>
              <w:rPr>
                <w:rFonts w:cs="Calibri"/>
                <w:color w:val="000000"/>
              </w:rPr>
              <w:t xml:space="preserve"> points</w:t>
            </w:r>
          </w:p>
        </w:tc>
      </w:tr>
      <w:tr w:rsidR="00E648E3" w14:paraId="69327FA0" w14:textId="77777777" w:rsidTr="007C4106">
        <w:trPr>
          <w:trHeight w:val="876"/>
        </w:trPr>
        <w:tc>
          <w:tcPr>
            <w:tcW w:w="6907" w:type="dxa"/>
            <w:vAlign w:val="center"/>
          </w:tcPr>
          <w:p w14:paraId="4A0B0C8F" w14:textId="7500FC72" w:rsidR="00E648E3" w:rsidRPr="00142783" w:rsidRDefault="00E648E3" w:rsidP="00E648E3">
            <w:pPr>
              <w:ind w:left="720"/>
            </w:pPr>
            <w:r>
              <w:rPr>
                <w:b/>
              </w:rPr>
              <w:t xml:space="preserve">Transitional Housing – </w:t>
            </w:r>
            <w:r>
              <w:t xml:space="preserve">75% move to permanent housing </w:t>
            </w:r>
            <w:r w:rsidRPr="008A7205">
              <w:t xml:space="preserve"> </w:t>
            </w:r>
          </w:p>
        </w:tc>
        <w:tc>
          <w:tcPr>
            <w:tcW w:w="2340" w:type="dxa"/>
            <w:vAlign w:val="center"/>
          </w:tcPr>
          <w:p w14:paraId="24EDB7B9" w14:textId="1744E90F" w:rsidR="00E648E3" w:rsidRPr="00142783" w:rsidRDefault="00E648E3" w:rsidP="00E648E3">
            <w:pPr>
              <w:jc w:val="center"/>
            </w:pPr>
            <w:r>
              <w:t>75%</w:t>
            </w:r>
          </w:p>
        </w:tc>
        <w:tc>
          <w:tcPr>
            <w:tcW w:w="1643" w:type="dxa"/>
            <w:vAlign w:val="center"/>
          </w:tcPr>
          <w:p w14:paraId="149D14C5" w14:textId="2DE29A1D" w:rsidR="00E648E3" w:rsidRPr="002703B0" w:rsidRDefault="00E648E3" w:rsidP="00E648E3">
            <w:r>
              <w:rPr>
                <w:rFonts w:cs="Calibri"/>
                <w:color w:val="000000"/>
              </w:rPr>
              <w:t>25</w:t>
            </w:r>
            <w:r w:rsidRPr="00142783">
              <w:rPr>
                <w:rFonts w:cs="Calibri"/>
                <w:color w:val="000000"/>
              </w:rPr>
              <w:t xml:space="preserve"> </w:t>
            </w:r>
            <w:r>
              <w:rPr>
                <w:rFonts w:cs="Calibri"/>
                <w:color w:val="000000"/>
              </w:rPr>
              <w:t xml:space="preserve"> points</w:t>
            </w:r>
          </w:p>
        </w:tc>
      </w:tr>
      <w:tr w:rsidR="00E648E3" w14:paraId="4BAD7F55" w14:textId="77777777" w:rsidTr="00E648E3">
        <w:trPr>
          <w:trHeight w:val="417"/>
        </w:trPr>
        <w:tc>
          <w:tcPr>
            <w:tcW w:w="10890" w:type="dxa"/>
            <w:gridSpan w:val="3"/>
            <w:shd w:val="clear" w:color="auto" w:fill="D9D9D9" w:themeFill="background1" w:themeFillShade="D9"/>
            <w:vAlign w:val="center"/>
          </w:tcPr>
          <w:p w14:paraId="20D5F890" w14:textId="1092952E" w:rsidR="00E648E3" w:rsidRPr="008A7205" w:rsidRDefault="00E648E3" w:rsidP="00E648E3">
            <w:pPr>
              <w:rPr>
                <w:rFonts w:cs="Calibri"/>
                <w:b/>
                <w:color w:val="000000"/>
              </w:rPr>
            </w:pPr>
            <w:r w:rsidRPr="008A7205">
              <w:rPr>
                <w:rFonts w:cs="Calibri"/>
                <w:b/>
                <w:color w:val="000000"/>
              </w:rPr>
              <w:t>Returns to Homelessness</w:t>
            </w:r>
          </w:p>
        </w:tc>
      </w:tr>
      <w:tr w:rsidR="00E648E3" w14:paraId="3F7FBF9A" w14:textId="77777777" w:rsidTr="007C4106">
        <w:trPr>
          <w:trHeight w:val="867"/>
        </w:trPr>
        <w:tc>
          <w:tcPr>
            <w:tcW w:w="6907" w:type="dxa"/>
            <w:vAlign w:val="center"/>
          </w:tcPr>
          <w:p w14:paraId="042F0873" w14:textId="5DD55C06" w:rsidR="00E648E3" w:rsidRPr="00142783" w:rsidRDefault="00E648E3" w:rsidP="00E648E3">
            <w:pPr>
              <w:ind w:left="720"/>
            </w:pPr>
            <w:r>
              <w:rPr>
                <w:b/>
              </w:rPr>
              <w:t xml:space="preserve">Rapid Rehousing – </w:t>
            </w:r>
            <w:r>
              <w:t>15%</w:t>
            </w:r>
            <w:r w:rsidRPr="007C4106">
              <w:t xml:space="preserve"> of participants return to homelessness within 12 months of exit to permanent housing</w:t>
            </w:r>
          </w:p>
        </w:tc>
        <w:tc>
          <w:tcPr>
            <w:tcW w:w="2340" w:type="dxa"/>
            <w:vAlign w:val="center"/>
          </w:tcPr>
          <w:p w14:paraId="1B63CFEA" w14:textId="65A354BF" w:rsidR="00E648E3" w:rsidRPr="00142783" w:rsidRDefault="00E648E3" w:rsidP="00E648E3">
            <w:pPr>
              <w:jc w:val="center"/>
            </w:pPr>
            <w:r>
              <w:t>15%</w:t>
            </w:r>
          </w:p>
        </w:tc>
        <w:tc>
          <w:tcPr>
            <w:tcW w:w="1643" w:type="dxa"/>
            <w:vAlign w:val="center"/>
          </w:tcPr>
          <w:p w14:paraId="12A78400" w14:textId="0C3A436C" w:rsidR="00E648E3" w:rsidRPr="00142783" w:rsidRDefault="00E648E3" w:rsidP="00E648E3">
            <w:pPr>
              <w:rPr>
                <w:rFonts w:cs="Calibri"/>
                <w:color w:val="000000"/>
              </w:rPr>
            </w:pPr>
            <w:r>
              <w:rPr>
                <w:rFonts w:cs="Calibri"/>
                <w:color w:val="000000"/>
              </w:rPr>
              <w:t>15</w:t>
            </w:r>
            <w:r w:rsidRPr="00142783">
              <w:rPr>
                <w:rFonts w:cs="Calibri"/>
                <w:color w:val="000000"/>
              </w:rPr>
              <w:t xml:space="preserve"> </w:t>
            </w:r>
            <w:r>
              <w:rPr>
                <w:rFonts w:cs="Calibri"/>
                <w:color w:val="000000"/>
              </w:rPr>
              <w:t xml:space="preserve"> points</w:t>
            </w:r>
          </w:p>
        </w:tc>
      </w:tr>
      <w:tr w:rsidR="00E648E3" w14:paraId="7E6608AC" w14:textId="77777777" w:rsidTr="007C4106">
        <w:trPr>
          <w:trHeight w:val="993"/>
        </w:trPr>
        <w:tc>
          <w:tcPr>
            <w:tcW w:w="6907" w:type="dxa"/>
            <w:vAlign w:val="center"/>
          </w:tcPr>
          <w:p w14:paraId="7A4B4E74" w14:textId="4D008EA0" w:rsidR="00E648E3" w:rsidRPr="00142783" w:rsidRDefault="00E648E3" w:rsidP="00E648E3">
            <w:pPr>
              <w:ind w:left="720"/>
              <w:rPr>
                <w:b/>
              </w:rPr>
            </w:pPr>
            <w:r>
              <w:rPr>
                <w:b/>
              </w:rPr>
              <w:t xml:space="preserve">Permanent Supportive Housing </w:t>
            </w:r>
            <w:r w:rsidRPr="008A7205">
              <w:t xml:space="preserve">– </w:t>
            </w:r>
            <w:r>
              <w:t xml:space="preserve">10% </w:t>
            </w:r>
            <w:r w:rsidRPr="007C4106">
              <w:t xml:space="preserve">of participants return to homelessness within 12 months of exit to permanent </w:t>
            </w:r>
          </w:p>
        </w:tc>
        <w:tc>
          <w:tcPr>
            <w:tcW w:w="2340" w:type="dxa"/>
            <w:vAlign w:val="center"/>
          </w:tcPr>
          <w:p w14:paraId="360DB246" w14:textId="2922C1B5" w:rsidR="00E648E3" w:rsidRDefault="00E648E3" w:rsidP="00E648E3">
            <w:pPr>
              <w:jc w:val="center"/>
            </w:pPr>
            <w:r>
              <w:t>10%</w:t>
            </w:r>
          </w:p>
        </w:tc>
        <w:tc>
          <w:tcPr>
            <w:tcW w:w="1643" w:type="dxa"/>
            <w:vAlign w:val="center"/>
          </w:tcPr>
          <w:p w14:paraId="45198091" w14:textId="6A496ADD" w:rsidR="00E648E3" w:rsidRPr="002703B0" w:rsidRDefault="00E648E3" w:rsidP="00E648E3">
            <w:r>
              <w:rPr>
                <w:rFonts w:cs="Calibri"/>
                <w:color w:val="000000"/>
              </w:rPr>
              <w:t>15</w:t>
            </w:r>
            <w:r w:rsidRPr="00142783">
              <w:rPr>
                <w:rFonts w:cs="Calibri"/>
                <w:color w:val="000000"/>
              </w:rPr>
              <w:t xml:space="preserve"> </w:t>
            </w:r>
            <w:r>
              <w:rPr>
                <w:rFonts w:cs="Calibri"/>
                <w:color w:val="000000"/>
              </w:rPr>
              <w:t xml:space="preserve"> points</w:t>
            </w:r>
          </w:p>
        </w:tc>
      </w:tr>
      <w:tr w:rsidR="00E648E3" w14:paraId="563BB0BB" w14:textId="77777777" w:rsidTr="007C4106">
        <w:trPr>
          <w:trHeight w:val="795"/>
        </w:trPr>
        <w:tc>
          <w:tcPr>
            <w:tcW w:w="6907" w:type="dxa"/>
            <w:vAlign w:val="center"/>
          </w:tcPr>
          <w:p w14:paraId="4426C1CA" w14:textId="21BFC8EB" w:rsidR="00E648E3" w:rsidRDefault="00E648E3" w:rsidP="00E648E3">
            <w:pPr>
              <w:ind w:left="720"/>
              <w:rPr>
                <w:b/>
              </w:rPr>
            </w:pPr>
            <w:r>
              <w:rPr>
                <w:b/>
              </w:rPr>
              <w:t xml:space="preserve">Transitional Housing – </w:t>
            </w:r>
            <w:r>
              <w:t>15%</w:t>
            </w:r>
            <w:r w:rsidRPr="007C4106">
              <w:t xml:space="preserve"> of participants return to homelessness within 12 months of exit to permanent housing</w:t>
            </w:r>
          </w:p>
        </w:tc>
        <w:tc>
          <w:tcPr>
            <w:tcW w:w="2340" w:type="dxa"/>
            <w:vAlign w:val="center"/>
          </w:tcPr>
          <w:p w14:paraId="1DE54225" w14:textId="26E4F62D" w:rsidR="00E648E3" w:rsidRDefault="00E648E3" w:rsidP="00E648E3">
            <w:pPr>
              <w:jc w:val="center"/>
            </w:pPr>
            <w:r>
              <w:t>15%</w:t>
            </w:r>
          </w:p>
        </w:tc>
        <w:tc>
          <w:tcPr>
            <w:tcW w:w="1643" w:type="dxa"/>
            <w:vAlign w:val="center"/>
          </w:tcPr>
          <w:p w14:paraId="1F8897FE" w14:textId="7E1A26B5" w:rsidR="00E648E3" w:rsidRDefault="00E648E3" w:rsidP="00E648E3">
            <w:pPr>
              <w:ind w:left="5" w:hanging="5"/>
              <w:rPr>
                <w:rFonts w:cs="Calibri"/>
                <w:color w:val="000000"/>
              </w:rPr>
            </w:pPr>
            <w:r>
              <w:rPr>
                <w:rFonts w:cs="Calibri"/>
                <w:color w:val="000000"/>
              </w:rPr>
              <w:t>15</w:t>
            </w:r>
            <w:r w:rsidRPr="00142783">
              <w:rPr>
                <w:rFonts w:cs="Calibri"/>
                <w:color w:val="000000"/>
              </w:rPr>
              <w:t xml:space="preserve"> </w:t>
            </w:r>
            <w:r>
              <w:rPr>
                <w:rFonts w:cs="Calibri"/>
                <w:color w:val="000000"/>
              </w:rPr>
              <w:t xml:space="preserve"> points</w:t>
            </w:r>
          </w:p>
        </w:tc>
      </w:tr>
      <w:tr w:rsidR="00E648E3" w14:paraId="65D5AE37" w14:textId="77777777" w:rsidTr="00E648E3">
        <w:trPr>
          <w:trHeight w:val="489"/>
        </w:trPr>
        <w:tc>
          <w:tcPr>
            <w:tcW w:w="10890" w:type="dxa"/>
            <w:gridSpan w:val="3"/>
            <w:shd w:val="clear" w:color="auto" w:fill="D9D9D9" w:themeFill="background1" w:themeFillShade="D9"/>
            <w:vAlign w:val="center"/>
          </w:tcPr>
          <w:p w14:paraId="0181A64E" w14:textId="6A9BB454" w:rsidR="00E648E3" w:rsidRPr="007C4106" w:rsidRDefault="00E648E3" w:rsidP="00E648E3">
            <w:pPr>
              <w:rPr>
                <w:b/>
              </w:rPr>
            </w:pPr>
            <w:r w:rsidRPr="007C4106">
              <w:rPr>
                <w:b/>
              </w:rPr>
              <w:t>New or Increased Income and Earned Income</w:t>
            </w:r>
          </w:p>
        </w:tc>
      </w:tr>
      <w:tr w:rsidR="00E648E3" w14:paraId="72764FEB" w14:textId="77777777" w:rsidTr="007C4106">
        <w:trPr>
          <w:trHeight w:val="795"/>
        </w:trPr>
        <w:tc>
          <w:tcPr>
            <w:tcW w:w="6907" w:type="dxa"/>
            <w:vAlign w:val="center"/>
          </w:tcPr>
          <w:p w14:paraId="2395B615" w14:textId="144409D8" w:rsidR="00E648E3" w:rsidRPr="007C4106" w:rsidRDefault="00E648E3" w:rsidP="00E648E3">
            <w:pPr>
              <w:ind w:left="720"/>
              <w:rPr>
                <w:rFonts w:cs="Calibri"/>
                <w:color w:val="808080"/>
                <w:sz w:val="20"/>
              </w:rPr>
            </w:pPr>
            <w:r>
              <w:rPr>
                <w:b/>
              </w:rPr>
              <w:t xml:space="preserve">Rapid Rehousing </w:t>
            </w:r>
            <w:r w:rsidRPr="007C4106">
              <w:rPr>
                <w:b/>
                <w:sz w:val="24"/>
              </w:rPr>
              <w:t xml:space="preserve">– </w:t>
            </w:r>
            <w:r>
              <w:rPr>
                <w:rFonts w:cs="Calibri"/>
              </w:rPr>
              <w:t xml:space="preserve">50% </w:t>
            </w:r>
            <w:r w:rsidRPr="007C4106">
              <w:rPr>
                <w:rFonts w:cs="Calibri"/>
              </w:rPr>
              <w:t>new or increased earned income for project stayers</w:t>
            </w:r>
          </w:p>
        </w:tc>
        <w:tc>
          <w:tcPr>
            <w:tcW w:w="2340" w:type="dxa"/>
            <w:vAlign w:val="center"/>
          </w:tcPr>
          <w:p w14:paraId="4177159A" w14:textId="4F54016A" w:rsidR="00E648E3" w:rsidRDefault="00E648E3" w:rsidP="00E648E3">
            <w:pPr>
              <w:jc w:val="center"/>
            </w:pPr>
            <w:r>
              <w:t>50%</w:t>
            </w:r>
          </w:p>
        </w:tc>
        <w:tc>
          <w:tcPr>
            <w:tcW w:w="1643" w:type="dxa"/>
            <w:vAlign w:val="center"/>
          </w:tcPr>
          <w:p w14:paraId="3C21A9A7" w14:textId="2ACBAFCF" w:rsidR="00E648E3" w:rsidRPr="002703B0" w:rsidRDefault="00E648E3" w:rsidP="00E648E3">
            <w:r>
              <w:t xml:space="preserve">5 points </w:t>
            </w:r>
          </w:p>
        </w:tc>
      </w:tr>
      <w:tr w:rsidR="00E648E3" w14:paraId="42179922" w14:textId="77777777" w:rsidTr="007C4106">
        <w:trPr>
          <w:trHeight w:val="795"/>
        </w:trPr>
        <w:tc>
          <w:tcPr>
            <w:tcW w:w="6907" w:type="dxa"/>
            <w:vAlign w:val="center"/>
          </w:tcPr>
          <w:p w14:paraId="5DEC95E5" w14:textId="410C23C4" w:rsidR="00E648E3" w:rsidRDefault="00E648E3" w:rsidP="00E648E3">
            <w:pPr>
              <w:ind w:left="720"/>
              <w:rPr>
                <w:b/>
              </w:rPr>
            </w:pPr>
            <w:r>
              <w:rPr>
                <w:b/>
              </w:rPr>
              <w:lastRenderedPageBreak/>
              <w:t xml:space="preserve">Permanent Supportive Housing </w:t>
            </w:r>
            <w:r w:rsidRPr="007C4106">
              <w:rPr>
                <w:b/>
                <w:sz w:val="24"/>
              </w:rPr>
              <w:t xml:space="preserve">– </w:t>
            </w:r>
            <w:r>
              <w:rPr>
                <w:rFonts w:cs="Calibri"/>
              </w:rPr>
              <w:t xml:space="preserve">20% </w:t>
            </w:r>
            <w:r w:rsidRPr="007C4106">
              <w:rPr>
                <w:rFonts w:cs="Calibri"/>
              </w:rPr>
              <w:t>new or increased earned income for project stayers</w:t>
            </w:r>
          </w:p>
        </w:tc>
        <w:tc>
          <w:tcPr>
            <w:tcW w:w="2340" w:type="dxa"/>
            <w:vAlign w:val="center"/>
          </w:tcPr>
          <w:p w14:paraId="583F5DDD" w14:textId="3FAC9952" w:rsidR="00E648E3" w:rsidRDefault="00E648E3" w:rsidP="00E648E3">
            <w:pPr>
              <w:jc w:val="center"/>
            </w:pPr>
            <w:r>
              <w:t>20%</w:t>
            </w:r>
          </w:p>
        </w:tc>
        <w:tc>
          <w:tcPr>
            <w:tcW w:w="1643" w:type="dxa"/>
            <w:vAlign w:val="center"/>
          </w:tcPr>
          <w:p w14:paraId="1200C1CD" w14:textId="208970D0" w:rsidR="00E648E3" w:rsidRDefault="00E648E3" w:rsidP="00E648E3">
            <w:r>
              <w:t xml:space="preserve">5 points </w:t>
            </w:r>
          </w:p>
        </w:tc>
      </w:tr>
      <w:tr w:rsidR="00E648E3" w14:paraId="4CF12512" w14:textId="77777777" w:rsidTr="007C4106">
        <w:trPr>
          <w:trHeight w:val="795"/>
        </w:trPr>
        <w:tc>
          <w:tcPr>
            <w:tcW w:w="6907" w:type="dxa"/>
            <w:vAlign w:val="center"/>
          </w:tcPr>
          <w:p w14:paraId="5ADC0981" w14:textId="0A9648C0" w:rsidR="00E648E3" w:rsidRDefault="00E648E3" w:rsidP="00E648E3">
            <w:pPr>
              <w:ind w:left="720"/>
              <w:rPr>
                <w:b/>
              </w:rPr>
            </w:pPr>
            <w:r>
              <w:rPr>
                <w:b/>
              </w:rPr>
              <w:t xml:space="preserve">Transitional Housing </w:t>
            </w:r>
            <w:r w:rsidRPr="007C4106">
              <w:rPr>
                <w:b/>
                <w:sz w:val="24"/>
              </w:rPr>
              <w:t xml:space="preserve">– </w:t>
            </w:r>
            <w:r>
              <w:rPr>
                <w:rFonts w:cs="Calibri"/>
              </w:rPr>
              <w:t xml:space="preserve">50% </w:t>
            </w:r>
            <w:r w:rsidRPr="007C4106">
              <w:rPr>
                <w:rFonts w:cs="Calibri"/>
              </w:rPr>
              <w:t>new or increased earned income for project stayers</w:t>
            </w:r>
          </w:p>
        </w:tc>
        <w:tc>
          <w:tcPr>
            <w:tcW w:w="2340" w:type="dxa"/>
            <w:vAlign w:val="center"/>
          </w:tcPr>
          <w:p w14:paraId="4665859C" w14:textId="76008F31" w:rsidR="00E648E3" w:rsidRDefault="00E648E3" w:rsidP="00E648E3">
            <w:pPr>
              <w:jc w:val="center"/>
            </w:pPr>
            <w:r>
              <w:t>50%</w:t>
            </w:r>
          </w:p>
        </w:tc>
        <w:tc>
          <w:tcPr>
            <w:tcW w:w="1643" w:type="dxa"/>
            <w:vAlign w:val="center"/>
          </w:tcPr>
          <w:p w14:paraId="3FC39327" w14:textId="0E824011" w:rsidR="00E648E3" w:rsidRDefault="00E648E3" w:rsidP="00E648E3">
            <w:r>
              <w:t xml:space="preserve">5 points </w:t>
            </w:r>
          </w:p>
        </w:tc>
      </w:tr>
      <w:tr w:rsidR="00E648E3" w14:paraId="01489EC9" w14:textId="77777777" w:rsidTr="007C4106">
        <w:trPr>
          <w:trHeight w:val="903"/>
        </w:trPr>
        <w:tc>
          <w:tcPr>
            <w:tcW w:w="6907" w:type="dxa"/>
            <w:vAlign w:val="center"/>
          </w:tcPr>
          <w:p w14:paraId="4C3B98D2" w14:textId="0F188C01" w:rsidR="00E648E3" w:rsidRPr="00142783" w:rsidRDefault="00E648E3" w:rsidP="00E648E3">
            <w:pPr>
              <w:autoSpaceDE w:val="0"/>
              <w:autoSpaceDN w:val="0"/>
              <w:adjustRightInd w:val="0"/>
              <w:ind w:left="720"/>
              <w:rPr>
                <w:rFonts w:cs="Calibri"/>
                <w:color w:val="000000"/>
                <w:sz w:val="18"/>
                <w:szCs w:val="18"/>
              </w:rPr>
            </w:pPr>
            <w:r>
              <w:rPr>
                <w:b/>
              </w:rPr>
              <w:t xml:space="preserve">Rapid Rehousing </w:t>
            </w:r>
            <w:r w:rsidRPr="007C4106">
              <w:rPr>
                <w:b/>
                <w:sz w:val="24"/>
              </w:rPr>
              <w:t xml:space="preserve">– </w:t>
            </w:r>
            <w:r>
              <w:rPr>
                <w:rFonts w:cs="Calibri"/>
              </w:rPr>
              <w:t xml:space="preserve">20% </w:t>
            </w:r>
            <w:r w:rsidRPr="007C4106">
              <w:rPr>
                <w:rFonts w:cs="Calibri"/>
              </w:rPr>
              <w:t>new or increased non-employment income for project stayers</w:t>
            </w:r>
          </w:p>
        </w:tc>
        <w:tc>
          <w:tcPr>
            <w:tcW w:w="2340" w:type="dxa"/>
            <w:vAlign w:val="center"/>
          </w:tcPr>
          <w:p w14:paraId="25629332" w14:textId="4E6409BA" w:rsidR="00E648E3" w:rsidRPr="00142783" w:rsidRDefault="00E648E3" w:rsidP="00E648E3">
            <w:pPr>
              <w:jc w:val="center"/>
            </w:pPr>
            <w:r>
              <w:t>20%</w:t>
            </w:r>
          </w:p>
        </w:tc>
        <w:tc>
          <w:tcPr>
            <w:tcW w:w="1643" w:type="dxa"/>
            <w:vAlign w:val="center"/>
          </w:tcPr>
          <w:p w14:paraId="43146A8E" w14:textId="01F7FFEF" w:rsidR="00E648E3" w:rsidRPr="00142783" w:rsidRDefault="00E648E3" w:rsidP="00E648E3">
            <w:pPr>
              <w:autoSpaceDE w:val="0"/>
              <w:autoSpaceDN w:val="0"/>
              <w:adjustRightInd w:val="0"/>
              <w:rPr>
                <w:rFonts w:cs="Calibri"/>
                <w:color w:val="000000"/>
              </w:rPr>
            </w:pPr>
            <w:r>
              <w:t xml:space="preserve">5 points </w:t>
            </w:r>
          </w:p>
        </w:tc>
      </w:tr>
      <w:tr w:rsidR="00E648E3" w14:paraId="0B5B50A6" w14:textId="77777777" w:rsidTr="007C4106">
        <w:trPr>
          <w:trHeight w:val="903"/>
        </w:trPr>
        <w:tc>
          <w:tcPr>
            <w:tcW w:w="6907" w:type="dxa"/>
            <w:vAlign w:val="center"/>
          </w:tcPr>
          <w:p w14:paraId="179B1F0B" w14:textId="76B9DC1A" w:rsidR="00E648E3" w:rsidRDefault="00E648E3" w:rsidP="00E648E3">
            <w:pPr>
              <w:autoSpaceDE w:val="0"/>
              <w:autoSpaceDN w:val="0"/>
              <w:adjustRightInd w:val="0"/>
              <w:ind w:left="720"/>
              <w:rPr>
                <w:b/>
              </w:rPr>
            </w:pPr>
            <w:r>
              <w:rPr>
                <w:b/>
              </w:rPr>
              <w:t xml:space="preserve">Permanent Supportive Housing </w:t>
            </w:r>
            <w:r w:rsidRPr="007C4106">
              <w:rPr>
                <w:b/>
                <w:sz w:val="24"/>
              </w:rPr>
              <w:t xml:space="preserve">– </w:t>
            </w:r>
            <w:r>
              <w:rPr>
                <w:rFonts w:cs="Calibri"/>
              </w:rPr>
              <w:t xml:space="preserve">20% </w:t>
            </w:r>
            <w:r w:rsidRPr="007C4106">
              <w:rPr>
                <w:rFonts w:cs="Calibri"/>
              </w:rPr>
              <w:t>new or increased non-employment income for project stayers</w:t>
            </w:r>
          </w:p>
        </w:tc>
        <w:tc>
          <w:tcPr>
            <w:tcW w:w="2340" w:type="dxa"/>
            <w:vAlign w:val="center"/>
          </w:tcPr>
          <w:p w14:paraId="3502A0BE" w14:textId="1B5AAB13" w:rsidR="00E648E3" w:rsidRDefault="00E648E3" w:rsidP="00E648E3">
            <w:pPr>
              <w:jc w:val="center"/>
            </w:pPr>
            <w:r>
              <w:t>20%</w:t>
            </w:r>
          </w:p>
        </w:tc>
        <w:tc>
          <w:tcPr>
            <w:tcW w:w="1643" w:type="dxa"/>
            <w:vAlign w:val="center"/>
          </w:tcPr>
          <w:p w14:paraId="40DD7842" w14:textId="0061C648" w:rsidR="00E648E3" w:rsidRDefault="00E648E3" w:rsidP="00E648E3">
            <w:pPr>
              <w:autoSpaceDE w:val="0"/>
              <w:autoSpaceDN w:val="0"/>
              <w:adjustRightInd w:val="0"/>
            </w:pPr>
            <w:r>
              <w:t xml:space="preserve">5 points </w:t>
            </w:r>
          </w:p>
        </w:tc>
      </w:tr>
      <w:tr w:rsidR="00E648E3" w14:paraId="16B268DE" w14:textId="77777777" w:rsidTr="007C4106">
        <w:trPr>
          <w:trHeight w:val="903"/>
        </w:trPr>
        <w:tc>
          <w:tcPr>
            <w:tcW w:w="6907" w:type="dxa"/>
            <w:vAlign w:val="center"/>
          </w:tcPr>
          <w:p w14:paraId="4931AD85" w14:textId="3650A9E4" w:rsidR="00E648E3" w:rsidRDefault="00E648E3" w:rsidP="00E648E3">
            <w:pPr>
              <w:autoSpaceDE w:val="0"/>
              <w:autoSpaceDN w:val="0"/>
              <w:adjustRightInd w:val="0"/>
              <w:ind w:left="720"/>
              <w:rPr>
                <w:b/>
              </w:rPr>
            </w:pPr>
            <w:r>
              <w:rPr>
                <w:b/>
              </w:rPr>
              <w:t xml:space="preserve">Transitional Housing </w:t>
            </w:r>
            <w:r w:rsidRPr="007C4106">
              <w:rPr>
                <w:b/>
                <w:sz w:val="24"/>
              </w:rPr>
              <w:t xml:space="preserve">– </w:t>
            </w:r>
            <w:r>
              <w:rPr>
                <w:rFonts w:cs="Calibri"/>
              </w:rPr>
              <w:t xml:space="preserve">20% </w:t>
            </w:r>
            <w:r w:rsidRPr="007C4106">
              <w:rPr>
                <w:rFonts w:cs="Calibri"/>
              </w:rPr>
              <w:t>new or increased non-employment income for project stayers</w:t>
            </w:r>
          </w:p>
        </w:tc>
        <w:tc>
          <w:tcPr>
            <w:tcW w:w="2340" w:type="dxa"/>
            <w:vAlign w:val="center"/>
          </w:tcPr>
          <w:p w14:paraId="11DAB085" w14:textId="5B0AB35D" w:rsidR="00E648E3" w:rsidRDefault="00E648E3" w:rsidP="00E648E3">
            <w:pPr>
              <w:jc w:val="center"/>
            </w:pPr>
            <w:r>
              <w:t>20%</w:t>
            </w:r>
          </w:p>
        </w:tc>
        <w:tc>
          <w:tcPr>
            <w:tcW w:w="1643" w:type="dxa"/>
            <w:vAlign w:val="center"/>
          </w:tcPr>
          <w:p w14:paraId="0DB292B2" w14:textId="12F0E3AD" w:rsidR="00E648E3" w:rsidRDefault="00E648E3" w:rsidP="00E648E3">
            <w:pPr>
              <w:autoSpaceDE w:val="0"/>
              <w:autoSpaceDN w:val="0"/>
              <w:adjustRightInd w:val="0"/>
            </w:pPr>
            <w:r>
              <w:t xml:space="preserve">5 points </w:t>
            </w:r>
          </w:p>
        </w:tc>
      </w:tr>
      <w:tr w:rsidR="00E648E3" w14:paraId="368324E4" w14:textId="77777777" w:rsidTr="007C4106">
        <w:trPr>
          <w:trHeight w:val="903"/>
        </w:trPr>
        <w:tc>
          <w:tcPr>
            <w:tcW w:w="6907" w:type="dxa"/>
            <w:vAlign w:val="center"/>
          </w:tcPr>
          <w:p w14:paraId="556DDAF3" w14:textId="2FCE7C43" w:rsidR="00E648E3" w:rsidRDefault="00E648E3" w:rsidP="00E648E3">
            <w:pPr>
              <w:autoSpaceDE w:val="0"/>
              <w:autoSpaceDN w:val="0"/>
              <w:adjustRightInd w:val="0"/>
              <w:ind w:left="720"/>
              <w:rPr>
                <w:b/>
              </w:rPr>
            </w:pPr>
            <w:r>
              <w:rPr>
                <w:b/>
              </w:rPr>
              <w:t xml:space="preserve">Rapid Rehousing </w:t>
            </w:r>
            <w:r w:rsidRPr="007C4106">
              <w:rPr>
                <w:b/>
                <w:sz w:val="24"/>
              </w:rPr>
              <w:t xml:space="preserve">– </w:t>
            </w:r>
            <w:r>
              <w:rPr>
                <w:rFonts w:cs="Calibri"/>
              </w:rPr>
              <w:t xml:space="preserve">50% </w:t>
            </w:r>
            <w:r w:rsidRPr="007C4106">
              <w:rPr>
                <w:rFonts w:cs="Calibri"/>
              </w:rPr>
              <w:t xml:space="preserve">new or increased earned income for project </w:t>
            </w:r>
            <w:r>
              <w:rPr>
                <w:rFonts w:cs="Calibri"/>
              </w:rPr>
              <w:t>leav</w:t>
            </w:r>
            <w:r w:rsidRPr="007C4106">
              <w:rPr>
                <w:rFonts w:cs="Calibri"/>
              </w:rPr>
              <w:t>ers</w:t>
            </w:r>
          </w:p>
        </w:tc>
        <w:tc>
          <w:tcPr>
            <w:tcW w:w="2340" w:type="dxa"/>
            <w:vAlign w:val="center"/>
          </w:tcPr>
          <w:p w14:paraId="72756EFF" w14:textId="4DA07861" w:rsidR="00E648E3" w:rsidRDefault="00E648E3" w:rsidP="00E648E3">
            <w:pPr>
              <w:jc w:val="center"/>
            </w:pPr>
            <w:r>
              <w:t>50%</w:t>
            </w:r>
          </w:p>
        </w:tc>
        <w:tc>
          <w:tcPr>
            <w:tcW w:w="1643" w:type="dxa"/>
            <w:vAlign w:val="center"/>
          </w:tcPr>
          <w:p w14:paraId="1E301ADC" w14:textId="2036F28A" w:rsidR="00E648E3" w:rsidRDefault="00E648E3" w:rsidP="00E648E3">
            <w:pPr>
              <w:autoSpaceDE w:val="0"/>
              <w:autoSpaceDN w:val="0"/>
              <w:adjustRightInd w:val="0"/>
            </w:pPr>
            <w:r>
              <w:t xml:space="preserve">5 points </w:t>
            </w:r>
          </w:p>
        </w:tc>
      </w:tr>
      <w:tr w:rsidR="00E648E3" w14:paraId="1F6AE02E" w14:textId="77777777" w:rsidTr="007C4106">
        <w:trPr>
          <w:trHeight w:val="903"/>
        </w:trPr>
        <w:tc>
          <w:tcPr>
            <w:tcW w:w="6907" w:type="dxa"/>
            <w:vAlign w:val="center"/>
          </w:tcPr>
          <w:p w14:paraId="7BAB91FE" w14:textId="2B2F9649" w:rsidR="00E648E3" w:rsidRDefault="00E648E3" w:rsidP="00E648E3">
            <w:pPr>
              <w:autoSpaceDE w:val="0"/>
              <w:autoSpaceDN w:val="0"/>
              <w:adjustRightInd w:val="0"/>
              <w:ind w:left="720"/>
              <w:rPr>
                <w:b/>
              </w:rPr>
            </w:pPr>
            <w:r>
              <w:rPr>
                <w:b/>
              </w:rPr>
              <w:t xml:space="preserve">Permanent Supportive Housing </w:t>
            </w:r>
            <w:r w:rsidRPr="007C4106">
              <w:rPr>
                <w:b/>
                <w:sz w:val="24"/>
              </w:rPr>
              <w:t xml:space="preserve">– </w:t>
            </w:r>
            <w:r>
              <w:rPr>
                <w:rFonts w:cs="Calibri"/>
              </w:rPr>
              <w:t xml:space="preserve">20% </w:t>
            </w:r>
            <w:r w:rsidRPr="007C4106">
              <w:rPr>
                <w:rFonts w:cs="Calibri"/>
              </w:rPr>
              <w:t xml:space="preserve">new or increased earned income for project </w:t>
            </w:r>
            <w:r>
              <w:rPr>
                <w:rFonts w:cs="Calibri"/>
              </w:rPr>
              <w:t>leav</w:t>
            </w:r>
            <w:r w:rsidRPr="007C4106">
              <w:rPr>
                <w:rFonts w:cs="Calibri"/>
              </w:rPr>
              <w:t>ers</w:t>
            </w:r>
          </w:p>
        </w:tc>
        <w:tc>
          <w:tcPr>
            <w:tcW w:w="2340" w:type="dxa"/>
            <w:vAlign w:val="center"/>
          </w:tcPr>
          <w:p w14:paraId="000CBBC2" w14:textId="54EE4C0A" w:rsidR="00E648E3" w:rsidRDefault="00E648E3" w:rsidP="00E648E3">
            <w:pPr>
              <w:jc w:val="center"/>
            </w:pPr>
            <w:r>
              <w:t>20%</w:t>
            </w:r>
          </w:p>
        </w:tc>
        <w:tc>
          <w:tcPr>
            <w:tcW w:w="1643" w:type="dxa"/>
            <w:vAlign w:val="center"/>
          </w:tcPr>
          <w:p w14:paraId="038BA5F8" w14:textId="54E80BF3" w:rsidR="00E648E3" w:rsidRDefault="00E648E3" w:rsidP="00E648E3">
            <w:pPr>
              <w:autoSpaceDE w:val="0"/>
              <w:autoSpaceDN w:val="0"/>
              <w:adjustRightInd w:val="0"/>
            </w:pPr>
            <w:r>
              <w:t xml:space="preserve">5 points </w:t>
            </w:r>
          </w:p>
        </w:tc>
      </w:tr>
      <w:tr w:rsidR="00E648E3" w14:paraId="15733029" w14:textId="77777777" w:rsidTr="007C4106">
        <w:trPr>
          <w:trHeight w:val="903"/>
        </w:trPr>
        <w:tc>
          <w:tcPr>
            <w:tcW w:w="6907" w:type="dxa"/>
            <w:vAlign w:val="center"/>
          </w:tcPr>
          <w:p w14:paraId="6377A35E" w14:textId="1E46C1F2" w:rsidR="00E648E3" w:rsidRDefault="00E648E3" w:rsidP="00E648E3">
            <w:pPr>
              <w:autoSpaceDE w:val="0"/>
              <w:autoSpaceDN w:val="0"/>
              <w:adjustRightInd w:val="0"/>
              <w:ind w:left="720"/>
              <w:rPr>
                <w:b/>
              </w:rPr>
            </w:pPr>
            <w:r>
              <w:rPr>
                <w:b/>
              </w:rPr>
              <w:t xml:space="preserve">Transitional Housing </w:t>
            </w:r>
            <w:r w:rsidRPr="007C4106">
              <w:rPr>
                <w:b/>
                <w:sz w:val="24"/>
              </w:rPr>
              <w:t xml:space="preserve">– </w:t>
            </w:r>
            <w:r>
              <w:rPr>
                <w:rFonts w:cs="Calibri"/>
              </w:rPr>
              <w:t xml:space="preserve">50% </w:t>
            </w:r>
            <w:r w:rsidRPr="007C4106">
              <w:rPr>
                <w:rFonts w:cs="Calibri"/>
              </w:rPr>
              <w:t>new or increase</w:t>
            </w:r>
            <w:r>
              <w:rPr>
                <w:rFonts w:cs="Calibri"/>
              </w:rPr>
              <w:t>d earned income for project leav</w:t>
            </w:r>
            <w:r w:rsidRPr="007C4106">
              <w:rPr>
                <w:rFonts w:cs="Calibri"/>
              </w:rPr>
              <w:t>ers</w:t>
            </w:r>
          </w:p>
        </w:tc>
        <w:tc>
          <w:tcPr>
            <w:tcW w:w="2340" w:type="dxa"/>
            <w:vAlign w:val="center"/>
          </w:tcPr>
          <w:p w14:paraId="7FC3482D" w14:textId="7CF9B513" w:rsidR="00E648E3" w:rsidRDefault="00E648E3" w:rsidP="00E648E3">
            <w:pPr>
              <w:jc w:val="center"/>
            </w:pPr>
            <w:r>
              <w:t>50%</w:t>
            </w:r>
          </w:p>
        </w:tc>
        <w:tc>
          <w:tcPr>
            <w:tcW w:w="1643" w:type="dxa"/>
            <w:vAlign w:val="center"/>
          </w:tcPr>
          <w:p w14:paraId="01B4F04B" w14:textId="12A48BCC" w:rsidR="00E648E3" w:rsidRDefault="00E648E3" w:rsidP="00E648E3">
            <w:pPr>
              <w:autoSpaceDE w:val="0"/>
              <w:autoSpaceDN w:val="0"/>
              <w:adjustRightInd w:val="0"/>
            </w:pPr>
            <w:r>
              <w:t xml:space="preserve">5 points </w:t>
            </w:r>
          </w:p>
        </w:tc>
      </w:tr>
      <w:tr w:rsidR="00E648E3" w14:paraId="3D5EE8AA" w14:textId="77777777" w:rsidTr="007C4106">
        <w:trPr>
          <w:trHeight w:val="903"/>
        </w:trPr>
        <w:tc>
          <w:tcPr>
            <w:tcW w:w="6907" w:type="dxa"/>
            <w:vAlign w:val="center"/>
          </w:tcPr>
          <w:p w14:paraId="7F397DA3" w14:textId="64EF9AAE" w:rsidR="00E648E3" w:rsidRDefault="00E648E3" w:rsidP="00E648E3">
            <w:pPr>
              <w:autoSpaceDE w:val="0"/>
              <w:autoSpaceDN w:val="0"/>
              <w:adjustRightInd w:val="0"/>
              <w:ind w:left="720"/>
              <w:rPr>
                <w:b/>
              </w:rPr>
            </w:pPr>
            <w:r>
              <w:rPr>
                <w:b/>
              </w:rPr>
              <w:t xml:space="preserve">Rapid Rehousing </w:t>
            </w:r>
            <w:r w:rsidRPr="007C4106">
              <w:rPr>
                <w:b/>
                <w:sz w:val="24"/>
              </w:rPr>
              <w:t xml:space="preserve">– </w:t>
            </w:r>
            <w:r>
              <w:rPr>
                <w:rFonts w:cs="Calibri"/>
              </w:rPr>
              <w:t xml:space="preserve">20% </w:t>
            </w:r>
            <w:r w:rsidRPr="007C4106">
              <w:rPr>
                <w:rFonts w:cs="Calibri"/>
              </w:rPr>
              <w:t xml:space="preserve">new or increased non-employment income for project </w:t>
            </w:r>
            <w:r>
              <w:rPr>
                <w:rFonts w:cs="Calibri"/>
              </w:rPr>
              <w:t>leav</w:t>
            </w:r>
            <w:r w:rsidRPr="007C4106">
              <w:rPr>
                <w:rFonts w:cs="Calibri"/>
              </w:rPr>
              <w:t>ers</w:t>
            </w:r>
          </w:p>
        </w:tc>
        <w:tc>
          <w:tcPr>
            <w:tcW w:w="2340" w:type="dxa"/>
            <w:vAlign w:val="center"/>
          </w:tcPr>
          <w:p w14:paraId="5B95D72A" w14:textId="5036E534" w:rsidR="00E648E3" w:rsidRDefault="00E648E3" w:rsidP="00E648E3">
            <w:pPr>
              <w:jc w:val="center"/>
            </w:pPr>
            <w:r>
              <w:t>20%</w:t>
            </w:r>
          </w:p>
        </w:tc>
        <w:tc>
          <w:tcPr>
            <w:tcW w:w="1643" w:type="dxa"/>
            <w:vAlign w:val="center"/>
          </w:tcPr>
          <w:p w14:paraId="1E6C5754" w14:textId="6503D8A6" w:rsidR="00E648E3" w:rsidRDefault="00E648E3" w:rsidP="00E648E3">
            <w:pPr>
              <w:autoSpaceDE w:val="0"/>
              <w:autoSpaceDN w:val="0"/>
              <w:adjustRightInd w:val="0"/>
            </w:pPr>
            <w:r>
              <w:t xml:space="preserve">5 points </w:t>
            </w:r>
          </w:p>
        </w:tc>
      </w:tr>
      <w:tr w:rsidR="00E648E3" w14:paraId="1C7E6CF7" w14:textId="77777777" w:rsidTr="007C4106">
        <w:trPr>
          <w:trHeight w:val="903"/>
        </w:trPr>
        <w:tc>
          <w:tcPr>
            <w:tcW w:w="6907" w:type="dxa"/>
            <w:vAlign w:val="center"/>
          </w:tcPr>
          <w:p w14:paraId="7D108F9B" w14:textId="7A2C48A0" w:rsidR="00E648E3" w:rsidRDefault="00E648E3" w:rsidP="00E648E3">
            <w:pPr>
              <w:autoSpaceDE w:val="0"/>
              <w:autoSpaceDN w:val="0"/>
              <w:adjustRightInd w:val="0"/>
              <w:ind w:left="720"/>
              <w:rPr>
                <w:b/>
              </w:rPr>
            </w:pPr>
            <w:r>
              <w:rPr>
                <w:b/>
              </w:rPr>
              <w:t xml:space="preserve">Permanent Supportive Housing </w:t>
            </w:r>
            <w:r w:rsidRPr="007C4106">
              <w:rPr>
                <w:b/>
                <w:sz w:val="24"/>
              </w:rPr>
              <w:t xml:space="preserve">– </w:t>
            </w:r>
            <w:r>
              <w:rPr>
                <w:rFonts w:cs="Calibri"/>
              </w:rPr>
              <w:t xml:space="preserve">20% </w:t>
            </w:r>
            <w:r w:rsidRPr="007C4106">
              <w:rPr>
                <w:rFonts w:cs="Calibri"/>
              </w:rPr>
              <w:t xml:space="preserve">new or increased non-employment income for project </w:t>
            </w:r>
            <w:r>
              <w:rPr>
                <w:rFonts w:cs="Calibri"/>
              </w:rPr>
              <w:t>leav</w:t>
            </w:r>
            <w:r w:rsidRPr="007C4106">
              <w:rPr>
                <w:rFonts w:cs="Calibri"/>
              </w:rPr>
              <w:t>ers</w:t>
            </w:r>
          </w:p>
        </w:tc>
        <w:tc>
          <w:tcPr>
            <w:tcW w:w="2340" w:type="dxa"/>
            <w:vAlign w:val="center"/>
          </w:tcPr>
          <w:p w14:paraId="7F6222F1" w14:textId="64E18D6F" w:rsidR="00E648E3" w:rsidRDefault="00E648E3" w:rsidP="00E648E3">
            <w:pPr>
              <w:jc w:val="center"/>
            </w:pPr>
            <w:r>
              <w:t>20%</w:t>
            </w:r>
          </w:p>
        </w:tc>
        <w:tc>
          <w:tcPr>
            <w:tcW w:w="1643" w:type="dxa"/>
            <w:vAlign w:val="center"/>
          </w:tcPr>
          <w:p w14:paraId="72E37EA5" w14:textId="3BFBB829" w:rsidR="00E648E3" w:rsidRDefault="00E648E3" w:rsidP="00E648E3">
            <w:pPr>
              <w:autoSpaceDE w:val="0"/>
              <w:autoSpaceDN w:val="0"/>
              <w:adjustRightInd w:val="0"/>
            </w:pPr>
            <w:r>
              <w:t xml:space="preserve">5 points </w:t>
            </w:r>
          </w:p>
        </w:tc>
      </w:tr>
      <w:tr w:rsidR="00E648E3" w14:paraId="3ABEC1A5" w14:textId="77777777" w:rsidTr="007C4106">
        <w:trPr>
          <w:trHeight w:val="903"/>
        </w:trPr>
        <w:tc>
          <w:tcPr>
            <w:tcW w:w="6907" w:type="dxa"/>
            <w:vAlign w:val="center"/>
          </w:tcPr>
          <w:p w14:paraId="3926FE4C" w14:textId="695FC53F" w:rsidR="00E648E3" w:rsidRDefault="00E648E3" w:rsidP="00E648E3">
            <w:pPr>
              <w:autoSpaceDE w:val="0"/>
              <w:autoSpaceDN w:val="0"/>
              <w:adjustRightInd w:val="0"/>
              <w:ind w:left="720"/>
              <w:rPr>
                <w:b/>
              </w:rPr>
            </w:pPr>
            <w:r>
              <w:rPr>
                <w:b/>
              </w:rPr>
              <w:t xml:space="preserve">Transitional Housing </w:t>
            </w:r>
            <w:r w:rsidRPr="007C4106">
              <w:rPr>
                <w:b/>
                <w:sz w:val="24"/>
              </w:rPr>
              <w:t xml:space="preserve">– </w:t>
            </w:r>
            <w:r>
              <w:rPr>
                <w:rFonts w:cs="Calibri"/>
              </w:rPr>
              <w:t xml:space="preserve">20% </w:t>
            </w:r>
            <w:r w:rsidRPr="007C4106">
              <w:rPr>
                <w:rFonts w:cs="Calibri"/>
              </w:rPr>
              <w:t xml:space="preserve">new or increased non-employment income for project </w:t>
            </w:r>
            <w:r>
              <w:rPr>
                <w:rFonts w:cs="Calibri"/>
              </w:rPr>
              <w:t>leav</w:t>
            </w:r>
            <w:r w:rsidRPr="007C4106">
              <w:rPr>
                <w:rFonts w:cs="Calibri"/>
              </w:rPr>
              <w:t>ers</w:t>
            </w:r>
          </w:p>
        </w:tc>
        <w:tc>
          <w:tcPr>
            <w:tcW w:w="2340" w:type="dxa"/>
            <w:vAlign w:val="center"/>
          </w:tcPr>
          <w:p w14:paraId="27F676CA" w14:textId="7A8C5879" w:rsidR="00E648E3" w:rsidRDefault="00E648E3" w:rsidP="00E648E3">
            <w:pPr>
              <w:jc w:val="center"/>
            </w:pPr>
            <w:r>
              <w:t>20%</w:t>
            </w:r>
          </w:p>
        </w:tc>
        <w:tc>
          <w:tcPr>
            <w:tcW w:w="1643" w:type="dxa"/>
            <w:vAlign w:val="center"/>
          </w:tcPr>
          <w:p w14:paraId="3537DA4E" w14:textId="752B1D87" w:rsidR="00E648E3" w:rsidRDefault="00E648E3" w:rsidP="00E648E3">
            <w:pPr>
              <w:autoSpaceDE w:val="0"/>
              <w:autoSpaceDN w:val="0"/>
              <w:adjustRightInd w:val="0"/>
            </w:pPr>
            <w:r>
              <w:t xml:space="preserve">5 points </w:t>
            </w:r>
          </w:p>
        </w:tc>
      </w:tr>
      <w:tr w:rsidR="00E648E3" w14:paraId="4BB04B3D" w14:textId="77777777" w:rsidTr="00E648E3">
        <w:trPr>
          <w:trHeight w:val="426"/>
        </w:trPr>
        <w:tc>
          <w:tcPr>
            <w:tcW w:w="10890" w:type="dxa"/>
            <w:gridSpan w:val="3"/>
            <w:shd w:val="clear" w:color="auto" w:fill="D9D9D9" w:themeFill="background1" w:themeFillShade="D9"/>
            <w:vAlign w:val="center"/>
          </w:tcPr>
          <w:p w14:paraId="18BDFD6F" w14:textId="2ABA8259" w:rsidR="00E648E3" w:rsidRPr="00D52039" w:rsidRDefault="00E648E3" w:rsidP="00E648E3">
            <w:pPr>
              <w:autoSpaceDE w:val="0"/>
              <w:autoSpaceDN w:val="0"/>
              <w:adjustRightInd w:val="0"/>
              <w:rPr>
                <w:b/>
              </w:rPr>
            </w:pPr>
            <w:r w:rsidRPr="00D52039">
              <w:rPr>
                <w:b/>
              </w:rPr>
              <w:t>Serve High Need Population: Project focuses on chronically homeless people</w:t>
            </w:r>
          </w:p>
        </w:tc>
      </w:tr>
      <w:tr w:rsidR="00E648E3" w14:paraId="18E7B651" w14:textId="77777777" w:rsidTr="007C4106">
        <w:trPr>
          <w:trHeight w:val="903"/>
        </w:trPr>
        <w:tc>
          <w:tcPr>
            <w:tcW w:w="6907" w:type="dxa"/>
            <w:vAlign w:val="center"/>
          </w:tcPr>
          <w:p w14:paraId="45433AAD" w14:textId="752EDD80" w:rsidR="00E648E3" w:rsidRDefault="00E648E3" w:rsidP="00E648E3">
            <w:pPr>
              <w:autoSpaceDE w:val="0"/>
              <w:autoSpaceDN w:val="0"/>
              <w:adjustRightInd w:val="0"/>
              <w:ind w:left="720"/>
              <w:rPr>
                <w:b/>
              </w:rPr>
            </w:pPr>
            <w:r>
              <w:rPr>
                <w:b/>
              </w:rPr>
              <w:t xml:space="preserve">Rapid Rehousing </w:t>
            </w:r>
            <w:r w:rsidRPr="007C4106">
              <w:rPr>
                <w:b/>
                <w:sz w:val="24"/>
              </w:rPr>
              <w:t xml:space="preserve">– </w:t>
            </w:r>
            <w:r>
              <w:rPr>
                <w:rFonts w:cs="Calibri"/>
              </w:rPr>
              <w:t>50% o</w:t>
            </w:r>
            <w:r w:rsidRPr="00D52039">
              <w:rPr>
                <w:rFonts w:cs="Calibri"/>
              </w:rPr>
              <w:t>f participants are chronically homeless</w:t>
            </w:r>
          </w:p>
        </w:tc>
        <w:tc>
          <w:tcPr>
            <w:tcW w:w="2340" w:type="dxa"/>
            <w:vAlign w:val="center"/>
          </w:tcPr>
          <w:p w14:paraId="3F2EDEAE" w14:textId="2D10D62F" w:rsidR="00E648E3" w:rsidRDefault="00E648E3" w:rsidP="00E648E3">
            <w:pPr>
              <w:jc w:val="center"/>
            </w:pPr>
            <w:r>
              <w:t>50%</w:t>
            </w:r>
          </w:p>
        </w:tc>
        <w:tc>
          <w:tcPr>
            <w:tcW w:w="1643" w:type="dxa"/>
            <w:vAlign w:val="center"/>
          </w:tcPr>
          <w:p w14:paraId="04219F44" w14:textId="75E62CA0" w:rsidR="00E648E3" w:rsidRDefault="00E648E3" w:rsidP="00E648E3">
            <w:pPr>
              <w:autoSpaceDE w:val="0"/>
              <w:autoSpaceDN w:val="0"/>
              <w:adjustRightInd w:val="0"/>
            </w:pPr>
            <w:r>
              <w:t xml:space="preserve">20 points </w:t>
            </w:r>
          </w:p>
        </w:tc>
      </w:tr>
      <w:tr w:rsidR="00E648E3" w14:paraId="31613DCA" w14:textId="77777777" w:rsidTr="00E648E3">
        <w:trPr>
          <w:trHeight w:val="903"/>
        </w:trPr>
        <w:tc>
          <w:tcPr>
            <w:tcW w:w="6907" w:type="dxa"/>
            <w:vAlign w:val="center"/>
          </w:tcPr>
          <w:p w14:paraId="0C4A0743" w14:textId="44388F02" w:rsidR="00E648E3" w:rsidRDefault="00E648E3" w:rsidP="00E648E3">
            <w:pPr>
              <w:autoSpaceDE w:val="0"/>
              <w:autoSpaceDN w:val="0"/>
              <w:adjustRightInd w:val="0"/>
              <w:ind w:left="720"/>
              <w:rPr>
                <w:b/>
              </w:rPr>
            </w:pPr>
            <w:r>
              <w:rPr>
                <w:b/>
              </w:rPr>
              <w:t xml:space="preserve">Permanent Supportive Housing </w:t>
            </w:r>
            <w:r w:rsidRPr="007C4106">
              <w:rPr>
                <w:b/>
                <w:sz w:val="24"/>
              </w:rPr>
              <w:t xml:space="preserve">– </w:t>
            </w:r>
            <w:r>
              <w:rPr>
                <w:rFonts w:cs="Calibri"/>
              </w:rPr>
              <w:t>20% o</w:t>
            </w:r>
            <w:r w:rsidRPr="00D52039">
              <w:rPr>
                <w:rFonts w:cs="Calibri"/>
              </w:rPr>
              <w:t>f participants are chronically homeless</w:t>
            </w:r>
          </w:p>
        </w:tc>
        <w:tc>
          <w:tcPr>
            <w:tcW w:w="2340" w:type="dxa"/>
            <w:vAlign w:val="center"/>
          </w:tcPr>
          <w:p w14:paraId="0F0553E9" w14:textId="433D4C9D" w:rsidR="00E648E3" w:rsidRDefault="00E648E3" w:rsidP="00E648E3">
            <w:pPr>
              <w:jc w:val="center"/>
            </w:pPr>
            <w:r>
              <w:t>75%</w:t>
            </w:r>
          </w:p>
        </w:tc>
        <w:tc>
          <w:tcPr>
            <w:tcW w:w="1643" w:type="dxa"/>
          </w:tcPr>
          <w:p w14:paraId="151FDF95" w14:textId="77777777" w:rsidR="00E648E3" w:rsidRDefault="00E648E3" w:rsidP="00E648E3">
            <w:pPr>
              <w:autoSpaceDE w:val="0"/>
              <w:autoSpaceDN w:val="0"/>
              <w:adjustRightInd w:val="0"/>
            </w:pPr>
          </w:p>
          <w:p w14:paraId="5A70B875" w14:textId="559D7860" w:rsidR="00E648E3" w:rsidRDefault="00E648E3" w:rsidP="00E648E3">
            <w:pPr>
              <w:autoSpaceDE w:val="0"/>
              <w:autoSpaceDN w:val="0"/>
              <w:adjustRightInd w:val="0"/>
            </w:pPr>
            <w:r w:rsidRPr="00EB212A">
              <w:t xml:space="preserve">20 points </w:t>
            </w:r>
          </w:p>
        </w:tc>
      </w:tr>
      <w:tr w:rsidR="00E648E3" w14:paraId="7717EB75" w14:textId="77777777" w:rsidTr="00E648E3">
        <w:trPr>
          <w:trHeight w:val="903"/>
        </w:trPr>
        <w:tc>
          <w:tcPr>
            <w:tcW w:w="6907" w:type="dxa"/>
            <w:vAlign w:val="center"/>
          </w:tcPr>
          <w:p w14:paraId="7A8C4DB0" w14:textId="5710C8D6" w:rsidR="00E648E3" w:rsidRDefault="00E648E3" w:rsidP="00E648E3">
            <w:pPr>
              <w:autoSpaceDE w:val="0"/>
              <w:autoSpaceDN w:val="0"/>
              <w:adjustRightInd w:val="0"/>
              <w:ind w:left="720"/>
              <w:rPr>
                <w:b/>
              </w:rPr>
            </w:pPr>
            <w:r>
              <w:rPr>
                <w:b/>
              </w:rPr>
              <w:lastRenderedPageBreak/>
              <w:t xml:space="preserve">Transitional Housing </w:t>
            </w:r>
            <w:r w:rsidRPr="007C4106">
              <w:rPr>
                <w:b/>
                <w:sz w:val="24"/>
              </w:rPr>
              <w:t xml:space="preserve">– </w:t>
            </w:r>
            <w:r>
              <w:rPr>
                <w:rFonts w:cs="Calibri"/>
              </w:rPr>
              <w:t>20% o</w:t>
            </w:r>
            <w:r w:rsidRPr="00D52039">
              <w:rPr>
                <w:rFonts w:cs="Calibri"/>
              </w:rPr>
              <w:t>f participants are chronically homeless</w:t>
            </w:r>
          </w:p>
        </w:tc>
        <w:tc>
          <w:tcPr>
            <w:tcW w:w="2340" w:type="dxa"/>
            <w:vAlign w:val="center"/>
          </w:tcPr>
          <w:p w14:paraId="738D5AEF" w14:textId="191A516E" w:rsidR="00E648E3" w:rsidRDefault="00E648E3" w:rsidP="00E648E3">
            <w:pPr>
              <w:jc w:val="center"/>
            </w:pPr>
            <w:r>
              <w:t>50%</w:t>
            </w:r>
          </w:p>
        </w:tc>
        <w:tc>
          <w:tcPr>
            <w:tcW w:w="1643" w:type="dxa"/>
          </w:tcPr>
          <w:p w14:paraId="0B238EBB" w14:textId="77777777" w:rsidR="00E648E3" w:rsidRDefault="00E648E3" w:rsidP="00E648E3">
            <w:pPr>
              <w:autoSpaceDE w:val="0"/>
              <w:autoSpaceDN w:val="0"/>
              <w:adjustRightInd w:val="0"/>
            </w:pPr>
          </w:p>
          <w:p w14:paraId="10E688B9" w14:textId="59A4321E" w:rsidR="00E648E3" w:rsidRDefault="00E648E3" w:rsidP="00E648E3">
            <w:pPr>
              <w:autoSpaceDE w:val="0"/>
              <w:autoSpaceDN w:val="0"/>
              <w:adjustRightInd w:val="0"/>
            </w:pPr>
            <w:r w:rsidRPr="00EB212A">
              <w:t xml:space="preserve">20 points </w:t>
            </w:r>
          </w:p>
        </w:tc>
      </w:tr>
      <w:tr w:rsidR="00E648E3" w:rsidRPr="00D52039" w14:paraId="4289B6E5" w14:textId="77777777" w:rsidTr="00E648E3">
        <w:trPr>
          <w:trHeight w:val="426"/>
        </w:trPr>
        <w:tc>
          <w:tcPr>
            <w:tcW w:w="10890" w:type="dxa"/>
            <w:gridSpan w:val="3"/>
            <w:shd w:val="clear" w:color="auto" w:fill="D9D9D9" w:themeFill="background1" w:themeFillShade="D9"/>
            <w:vAlign w:val="center"/>
          </w:tcPr>
          <w:p w14:paraId="727D0DDC" w14:textId="4DD2B142" w:rsidR="00E648E3" w:rsidRPr="00D52039" w:rsidRDefault="00E648E3" w:rsidP="00E648E3">
            <w:pPr>
              <w:autoSpaceDE w:val="0"/>
              <w:autoSpaceDN w:val="0"/>
              <w:adjustRightInd w:val="0"/>
              <w:rPr>
                <w:b/>
              </w:rPr>
            </w:pPr>
            <w:r>
              <w:rPr>
                <w:b/>
              </w:rPr>
              <w:t>Project Effectiveness</w:t>
            </w:r>
          </w:p>
        </w:tc>
      </w:tr>
      <w:tr w:rsidR="00E648E3" w14:paraId="0B62913D" w14:textId="77777777" w:rsidTr="00E648E3">
        <w:trPr>
          <w:trHeight w:val="903"/>
        </w:trPr>
        <w:tc>
          <w:tcPr>
            <w:tcW w:w="6907" w:type="dxa"/>
            <w:vAlign w:val="center"/>
          </w:tcPr>
          <w:p w14:paraId="383A4057" w14:textId="47D59BFB" w:rsidR="00E648E3" w:rsidRDefault="00E648E3" w:rsidP="00E648E3">
            <w:pPr>
              <w:autoSpaceDE w:val="0"/>
              <w:autoSpaceDN w:val="0"/>
              <w:adjustRightInd w:val="0"/>
              <w:ind w:left="720"/>
              <w:rPr>
                <w:b/>
              </w:rPr>
            </w:pPr>
            <w:r>
              <w:rPr>
                <w:b/>
              </w:rPr>
              <w:t xml:space="preserve">Rapid Rehousing </w:t>
            </w:r>
            <w:r w:rsidRPr="007C4106">
              <w:rPr>
                <w:b/>
                <w:sz w:val="24"/>
              </w:rPr>
              <w:t xml:space="preserve">– </w:t>
            </w:r>
            <w:r w:rsidRPr="00D52039">
              <w:rPr>
                <w:rFonts w:cs="Calibri"/>
              </w:rPr>
              <w:t>Project has reasonable costs per permanent housing exit as defined locally</w:t>
            </w:r>
          </w:p>
        </w:tc>
        <w:tc>
          <w:tcPr>
            <w:tcW w:w="2340" w:type="dxa"/>
            <w:vAlign w:val="center"/>
          </w:tcPr>
          <w:p w14:paraId="2DC31895" w14:textId="3218113F" w:rsidR="00E648E3" w:rsidRDefault="00E648E3" w:rsidP="00E648E3">
            <w:pPr>
              <w:jc w:val="center"/>
            </w:pPr>
            <w:r>
              <w:t>Yes/No</w:t>
            </w:r>
          </w:p>
        </w:tc>
        <w:tc>
          <w:tcPr>
            <w:tcW w:w="1643" w:type="dxa"/>
            <w:vAlign w:val="center"/>
          </w:tcPr>
          <w:p w14:paraId="3092D0D7" w14:textId="77777777" w:rsidR="00E648E3" w:rsidRDefault="00E648E3" w:rsidP="00E648E3">
            <w:pPr>
              <w:autoSpaceDE w:val="0"/>
              <w:autoSpaceDN w:val="0"/>
              <w:adjustRightInd w:val="0"/>
            </w:pPr>
            <w:r>
              <w:t xml:space="preserve">20 points </w:t>
            </w:r>
          </w:p>
        </w:tc>
      </w:tr>
      <w:tr w:rsidR="00E648E3" w14:paraId="4A0151E8" w14:textId="77777777" w:rsidTr="00E648E3">
        <w:trPr>
          <w:trHeight w:val="903"/>
        </w:trPr>
        <w:tc>
          <w:tcPr>
            <w:tcW w:w="6907" w:type="dxa"/>
            <w:vAlign w:val="center"/>
          </w:tcPr>
          <w:p w14:paraId="5F6A8F6D" w14:textId="6B7C99D5" w:rsidR="00E648E3" w:rsidRDefault="00E648E3" w:rsidP="00E648E3">
            <w:pPr>
              <w:autoSpaceDE w:val="0"/>
              <w:autoSpaceDN w:val="0"/>
              <w:adjustRightInd w:val="0"/>
              <w:ind w:left="720"/>
              <w:rPr>
                <w:b/>
              </w:rPr>
            </w:pPr>
            <w:r>
              <w:rPr>
                <w:b/>
              </w:rPr>
              <w:t xml:space="preserve">Permanent Supportive Housing </w:t>
            </w:r>
            <w:r w:rsidRPr="007C4106">
              <w:rPr>
                <w:b/>
                <w:sz w:val="24"/>
              </w:rPr>
              <w:t xml:space="preserve">– </w:t>
            </w:r>
            <w:r w:rsidRPr="00D52039">
              <w:rPr>
                <w:rFonts w:cs="Calibri"/>
              </w:rPr>
              <w:t>Project has reasonable costs per permanent housing exit as defined locally</w:t>
            </w:r>
          </w:p>
        </w:tc>
        <w:tc>
          <w:tcPr>
            <w:tcW w:w="2340" w:type="dxa"/>
          </w:tcPr>
          <w:p w14:paraId="6FD2A132" w14:textId="66119B68" w:rsidR="00E648E3" w:rsidRDefault="00E648E3" w:rsidP="00E648E3">
            <w:pPr>
              <w:jc w:val="center"/>
            </w:pPr>
          </w:p>
          <w:p w14:paraId="160D2044" w14:textId="76E5FAC7" w:rsidR="00E648E3" w:rsidRDefault="00E648E3" w:rsidP="00E648E3">
            <w:pPr>
              <w:jc w:val="center"/>
            </w:pPr>
            <w:r w:rsidRPr="007F39A2">
              <w:t>Yes/No</w:t>
            </w:r>
          </w:p>
        </w:tc>
        <w:tc>
          <w:tcPr>
            <w:tcW w:w="1643" w:type="dxa"/>
          </w:tcPr>
          <w:p w14:paraId="109B981D" w14:textId="77777777" w:rsidR="00E648E3" w:rsidRDefault="00E648E3" w:rsidP="00E648E3">
            <w:pPr>
              <w:autoSpaceDE w:val="0"/>
              <w:autoSpaceDN w:val="0"/>
              <w:adjustRightInd w:val="0"/>
            </w:pPr>
          </w:p>
          <w:p w14:paraId="3C2747FC" w14:textId="77777777" w:rsidR="00E648E3" w:rsidRDefault="00E648E3" w:rsidP="00E648E3">
            <w:pPr>
              <w:autoSpaceDE w:val="0"/>
              <w:autoSpaceDN w:val="0"/>
              <w:adjustRightInd w:val="0"/>
            </w:pPr>
            <w:r w:rsidRPr="00EB212A">
              <w:t xml:space="preserve">20 points </w:t>
            </w:r>
          </w:p>
        </w:tc>
      </w:tr>
      <w:tr w:rsidR="00E648E3" w14:paraId="27C5E4BA" w14:textId="77777777" w:rsidTr="00E648E3">
        <w:trPr>
          <w:trHeight w:val="903"/>
        </w:trPr>
        <w:tc>
          <w:tcPr>
            <w:tcW w:w="6907" w:type="dxa"/>
            <w:vAlign w:val="center"/>
          </w:tcPr>
          <w:p w14:paraId="2FB01670" w14:textId="45240F43" w:rsidR="00E648E3" w:rsidRDefault="00E648E3" w:rsidP="00E648E3">
            <w:pPr>
              <w:autoSpaceDE w:val="0"/>
              <w:autoSpaceDN w:val="0"/>
              <w:adjustRightInd w:val="0"/>
              <w:ind w:left="720"/>
              <w:rPr>
                <w:b/>
              </w:rPr>
            </w:pPr>
            <w:r>
              <w:rPr>
                <w:b/>
              </w:rPr>
              <w:t xml:space="preserve">Transitional Housing </w:t>
            </w:r>
            <w:r w:rsidRPr="007C4106">
              <w:rPr>
                <w:b/>
                <w:sz w:val="24"/>
              </w:rPr>
              <w:t xml:space="preserve">– </w:t>
            </w:r>
            <w:r w:rsidRPr="00D52039">
              <w:rPr>
                <w:rFonts w:cs="Calibri"/>
              </w:rPr>
              <w:t>Project has reasonable costs per permanent housing exit as defined locally</w:t>
            </w:r>
          </w:p>
        </w:tc>
        <w:tc>
          <w:tcPr>
            <w:tcW w:w="2340" w:type="dxa"/>
          </w:tcPr>
          <w:p w14:paraId="714CE522" w14:textId="77777777" w:rsidR="00E648E3" w:rsidRDefault="00E648E3" w:rsidP="00E648E3">
            <w:pPr>
              <w:jc w:val="center"/>
            </w:pPr>
          </w:p>
          <w:p w14:paraId="11598269" w14:textId="2F79DE2B" w:rsidR="00E648E3" w:rsidRDefault="00E648E3" w:rsidP="00E648E3">
            <w:pPr>
              <w:jc w:val="center"/>
            </w:pPr>
            <w:r w:rsidRPr="007F39A2">
              <w:t>Yes/No</w:t>
            </w:r>
          </w:p>
        </w:tc>
        <w:tc>
          <w:tcPr>
            <w:tcW w:w="1643" w:type="dxa"/>
          </w:tcPr>
          <w:p w14:paraId="31ECA0B4" w14:textId="77777777" w:rsidR="00E648E3" w:rsidRDefault="00E648E3" w:rsidP="00E648E3">
            <w:pPr>
              <w:autoSpaceDE w:val="0"/>
              <w:autoSpaceDN w:val="0"/>
              <w:adjustRightInd w:val="0"/>
            </w:pPr>
          </w:p>
          <w:p w14:paraId="5DDDF9D2" w14:textId="77777777" w:rsidR="00E648E3" w:rsidRDefault="00E648E3" w:rsidP="00E648E3">
            <w:pPr>
              <w:autoSpaceDE w:val="0"/>
              <w:autoSpaceDN w:val="0"/>
              <w:adjustRightInd w:val="0"/>
            </w:pPr>
            <w:r w:rsidRPr="00EB212A">
              <w:t xml:space="preserve">20 points </w:t>
            </w:r>
          </w:p>
        </w:tc>
      </w:tr>
      <w:tr w:rsidR="00E648E3" w14:paraId="21D33C12" w14:textId="77777777" w:rsidTr="00E648E3">
        <w:trPr>
          <w:trHeight w:val="903"/>
        </w:trPr>
        <w:tc>
          <w:tcPr>
            <w:tcW w:w="6907" w:type="dxa"/>
            <w:vAlign w:val="center"/>
          </w:tcPr>
          <w:p w14:paraId="473E65F5" w14:textId="007B5A25" w:rsidR="00E648E3" w:rsidRDefault="00E648E3" w:rsidP="00E648E3">
            <w:pPr>
              <w:autoSpaceDE w:val="0"/>
              <w:autoSpaceDN w:val="0"/>
              <w:adjustRightInd w:val="0"/>
              <w:ind w:left="720"/>
              <w:rPr>
                <w:b/>
              </w:rPr>
            </w:pPr>
            <w:r>
              <w:rPr>
                <w:b/>
              </w:rPr>
              <w:t xml:space="preserve">Rapid Rehousing </w:t>
            </w:r>
            <w:r w:rsidRPr="00D52039">
              <w:rPr>
                <w:sz w:val="24"/>
              </w:rPr>
              <w:t xml:space="preserve">– Coordinated Entry Participation- </w:t>
            </w:r>
            <w:r>
              <w:rPr>
                <w:sz w:val="24"/>
              </w:rPr>
              <w:t xml:space="preserve">100% </w:t>
            </w:r>
            <w:r w:rsidRPr="00D52039">
              <w:rPr>
                <w:sz w:val="24"/>
              </w:rPr>
              <w:t>of entries to project from CE referral (or alternative system for DV projects)</w:t>
            </w:r>
          </w:p>
        </w:tc>
        <w:tc>
          <w:tcPr>
            <w:tcW w:w="2340" w:type="dxa"/>
            <w:vAlign w:val="center"/>
          </w:tcPr>
          <w:p w14:paraId="3FDA51E1" w14:textId="44D45C6A" w:rsidR="00E648E3" w:rsidRDefault="00E648E3" w:rsidP="00E648E3">
            <w:pPr>
              <w:jc w:val="center"/>
            </w:pPr>
            <w:r>
              <w:t>100%</w:t>
            </w:r>
          </w:p>
        </w:tc>
        <w:tc>
          <w:tcPr>
            <w:tcW w:w="1643" w:type="dxa"/>
            <w:vAlign w:val="center"/>
          </w:tcPr>
          <w:p w14:paraId="3583F177" w14:textId="5ED0B9B3" w:rsidR="00E648E3" w:rsidRDefault="00E648E3" w:rsidP="00E648E3">
            <w:pPr>
              <w:autoSpaceDE w:val="0"/>
              <w:autoSpaceDN w:val="0"/>
              <w:adjustRightInd w:val="0"/>
            </w:pPr>
            <w:r>
              <w:t xml:space="preserve">10 points </w:t>
            </w:r>
          </w:p>
        </w:tc>
      </w:tr>
      <w:tr w:rsidR="00E648E3" w14:paraId="5F445DA0" w14:textId="77777777" w:rsidTr="00E648E3">
        <w:trPr>
          <w:trHeight w:val="903"/>
        </w:trPr>
        <w:tc>
          <w:tcPr>
            <w:tcW w:w="6907" w:type="dxa"/>
            <w:vAlign w:val="center"/>
          </w:tcPr>
          <w:p w14:paraId="7C00ED5A" w14:textId="5A1FE9BF" w:rsidR="00E648E3" w:rsidRDefault="00E648E3" w:rsidP="00E648E3">
            <w:pPr>
              <w:autoSpaceDE w:val="0"/>
              <w:autoSpaceDN w:val="0"/>
              <w:adjustRightInd w:val="0"/>
              <w:ind w:left="720"/>
              <w:rPr>
                <w:b/>
              </w:rPr>
            </w:pPr>
            <w:r>
              <w:rPr>
                <w:b/>
              </w:rPr>
              <w:t xml:space="preserve">Permanent Supportive Housing </w:t>
            </w:r>
            <w:r w:rsidRPr="007C4106">
              <w:rPr>
                <w:b/>
                <w:sz w:val="24"/>
              </w:rPr>
              <w:t xml:space="preserve">– </w:t>
            </w:r>
            <w:r w:rsidRPr="00D52039">
              <w:rPr>
                <w:sz w:val="24"/>
              </w:rPr>
              <w:t xml:space="preserve">Coordinated Entry Participation- </w:t>
            </w:r>
            <w:r>
              <w:rPr>
                <w:sz w:val="24"/>
              </w:rPr>
              <w:t xml:space="preserve">100% </w:t>
            </w:r>
            <w:r w:rsidRPr="00D52039">
              <w:rPr>
                <w:sz w:val="24"/>
              </w:rPr>
              <w:t>of entries to project from CE referral (or alternative system for DV projects)</w:t>
            </w:r>
          </w:p>
        </w:tc>
        <w:tc>
          <w:tcPr>
            <w:tcW w:w="2340" w:type="dxa"/>
          </w:tcPr>
          <w:p w14:paraId="6A95E574" w14:textId="77777777" w:rsidR="00E648E3" w:rsidRDefault="00E648E3" w:rsidP="00E648E3">
            <w:pPr>
              <w:jc w:val="center"/>
            </w:pPr>
          </w:p>
          <w:p w14:paraId="4A9E9E84" w14:textId="57B8E0D3" w:rsidR="00E648E3" w:rsidRDefault="00E648E3" w:rsidP="00E648E3">
            <w:pPr>
              <w:jc w:val="center"/>
            </w:pPr>
            <w:r w:rsidRPr="007E1232">
              <w:t>100%</w:t>
            </w:r>
          </w:p>
        </w:tc>
        <w:tc>
          <w:tcPr>
            <w:tcW w:w="1643" w:type="dxa"/>
          </w:tcPr>
          <w:p w14:paraId="67F02225" w14:textId="77777777" w:rsidR="00E648E3" w:rsidRDefault="00E648E3" w:rsidP="00E648E3">
            <w:pPr>
              <w:autoSpaceDE w:val="0"/>
              <w:autoSpaceDN w:val="0"/>
              <w:adjustRightInd w:val="0"/>
            </w:pPr>
          </w:p>
          <w:p w14:paraId="4233FB81" w14:textId="4EC69804" w:rsidR="00E648E3" w:rsidRDefault="00E648E3" w:rsidP="00E648E3">
            <w:pPr>
              <w:autoSpaceDE w:val="0"/>
              <w:autoSpaceDN w:val="0"/>
              <w:adjustRightInd w:val="0"/>
            </w:pPr>
            <w:r>
              <w:t>1</w:t>
            </w:r>
            <w:r w:rsidRPr="00EB212A">
              <w:t xml:space="preserve">0 points </w:t>
            </w:r>
          </w:p>
        </w:tc>
      </w:tr>
      <w:tr w:rsidR="00E648E3" w14:paraId="528F68A4" w14:textId="77777777" w:rsidTr="00E648E3">
        <w:trPr>
          <w:trHeight w:val="903"/>
        </w:trPr>
        <w:tc>
          <w:tcPr>
            <w:tcW w:w="6907" w:type="dxa"/>
            <w:vAlign w:val="center"/>
          </w:tcPr>
          <w:p w14:paraId="1F883DBD" w14:textId="052B5037" w:rsidR="00E648E3" w:rsidRDefault="00E648E3" w:rsidP="00E648E3">
            <w:pPr>
              <w:autoSpaceDE w:val="0"/>
              <w:autoSpaceDN w:val="0"/>
              <w:adjustRightInd w:val="0"/>
              <w:ind w:left="720"/>
              <w:rPr>
                <w:b/>
              </w:rPr>
            </w:pPr>
            <w:r>
              <w:rPr>
                <w:b/>
              </w:rPr>
              <w:t xml:space="preserve">Transitional Housing </w:t>
            </w:r>
            <w:r w:rsidRPr="007C4106">
              <w:rPr>
                <w:b/>
                <w:sz w:val="24"/>
              </w:rPr>
              <w:t xml:space="preserve">– </w:t>
            </w:r>
            <w:r w:rsidRPr="00D52039">
              <w:rPr>
                <w:sz w:val="24"/>
              </w:rPr>
              <w:t xml:space="preserve">Coordinated Entry Participation- </w:t>
            </w:r>
            <w:r>
              <w:rPr>
                <w:sz w:val="24"/>
              </w:rPr>
              <w:t xml:space="preserve">100% </w:t>
            </w:r>
            <w:r w:rsidRPr="00D52039">
              <w:rPr>
                <w:sz w:val="24"/>
              </w:rPr>
              <w:t>of entries to project from CE referral (or alternative system for DV projects)</w:t>
            </w:r>
          </w:p>
        </w:tc>
        <w:tc>
          <w:tcPr>
            <w:tcW w:w="2340" w:type="dxa"/>
          </w:tcPr>
          <w:p w14:paraId="53291477" w14:textId="77777777" w:rsidR="00E648E3" w:rsidRDefault="00E648E3" w:rsidP="00E648E3">
            <w:pPr>
              <w:jc w:val="center"/>
            </w:pPr>
          </w:p>
          <w:p w14:paraId="48B53B46" w14:textId="2F07A3F1" w:rsidR="00E648E3" w:rsidRDefault="00E648E3" w:rsidP="00E648E3">
            <w:pPr>
              <w:jc w:val="center"/>
            </w:pPr>
            <w:r w:rsidRPr="007E1232">
              <w:t>100%</w:t>
            </w:r>
          </w:p>
        </w:tc>
        <w:tc>
          <w:tcPr>
            <w:tcW w:w="1643" w:type="dxa"/>
          </w:tcPr>
          <w:p w14:paraId="78B9ED88" w14:textId="77777777" w:rsidR="00E648E3" w:rsidRDefault="00E648E3" w:rsidP="00E648E3">
            <w:pPr>
              <w:autoSpaceDE w:val="0"/>
              <w:autoSpaceDN w:val="0"/>
              <w:adjustRightInd w:val="0"/>
            </w:pPr>
          </w:p>
          <w:p w14:paraId="6BAFCE6F" w14:textId="3109E8BC" w:rsidR="00E648E3" w:rsidRDefault="00E648E3" w:rsidP="00E648E3">
            <w:pPr>
              <w:autoSpaceDE w:val="0"/>
              <w:autoSpaceDN w:val="0"/>
              <w:adjustRightInd w:val="0"/>
            </w:pPr>
            <w:r>
              <w:t>1</w:t>
            </w:r>
            <w:r w:rsidRPr="00EB212A">
              <w:t xml:space="preserve">0 points </w:t>
            </w:r>
          </w:p>
        </w:tc>
      </w:tr>
      <w:tr w:rsidR="00E648E3" w14:paraId="442D707A" w14:textId="77777777" w:rsidTr="00E648E3">
        <w:trPr>
          <w:trHeight w:val="903"/>
        </w:trPr>
        <w:tc>
          <w:tcPr>
            <w:tcW w:w="6907" w:type="dxa"/>
            <w:vAlign w:val="center"/>
          </w:tcPr>
          <w:p w14:paraId="5A78D0B2" w14:textId="35A91834" w:rsidR="00E648E3" w:rsidRDefault="00E648E3" w:rsidP="00E648E3">
            <w:pPr>
              <w:autoSpaceDE w:val="0"/>
              <w:autoSpaceDN w:val="0"/>
              <w:adjustRightInd w:val="0"/>
              <w:ind w:left="720"/>
              <w:rPr>
                <w:b/>
              </w:rPr>
            </w:pPr>
            <w:r>
              <w:rPr>
                <w:b/>
              </w:rPr>
              <w:t xml:space="preserve">Rapid Rehousing </w:t>
            </w:r>
            <w:r w:rsidRPr="00D52039">
              <w:rPr>
                <w:sz w:val="24"/>
              </w:rPr>
              <w:t>– Housing First and/or Low Barrier Implementation - CoC assessment of fidelity to Housing First from CoC monitoring or review of  project policies and procedures</w:t>
            </w:r>
          </w:p>
        </w:tc>
        <w:tc>
          <w:tcPr>
            <w:tcW w:w="2340" w:type="dxa"/>
            <w:vAlign w:val="center"/>
          </w:tcPr>
          <w:p w14:paraId="67EB1F31" w14:textId="40669506" w:rsidR="00E648E3" w:rsidRDefault="00E648E3" w:rsidP="00E648E3">
            <w:pPr>
              <w:jc w:val="center"/>
            </w:pPr>
            <w:r>
              <w:t>Yes/No</w:t>
            </w:r>
          </w:p>
        </w:tc>
        <w:tc>
          <w:tcPr>
            <w:tcW w:w="1643" w:type="dxa"/>
            <w:vAlign w:val="center"/>
          </w:tcPr>
          <w:p w14:paraId="42189589" w14:textId="3A6FCF09" w:rsidR="00E648E3" w:rsidRDefault="00E648E3" w:rsidP="00E648E3">
            <w:pPr>
              <w:autoSpaceDE w:val="0"/>
              <w:autoSpaceDN w:val="0"/>
              <w:adjustRightInd w:val="0"/>
            </w:pPr>
            <w:r>
              <w:t xml:space="preserve">20 points </w:t>
            </w:r>
          </w:p>
        </w:tc>
      </w:tr>
      <w:tr w:rsidR="00E648E3" w14:paraId="253C47F0" w14:textId="77777777" w:rsidTr="00E648E3">
        <w:trPr>
          <w:trHeight w:val="903"/>
        </w:trPr>
        <w:tc>
          <w:tcPr>
            <w:tcW w:w="6907" w:type="dxa"/>
            <w:vAlign w:val="center"/>
          </w:tcPr>
          <w:p w14:paraId="278D2B02" w14:textId="7939626F" w:rsidR="00E648E3" w:rsidRDefault="00E648E3" w:rsidP="00E648E3">
            <w:pPr>
              <w:autoSpaceDE w:val="0"/>
              <w:autoSpaceDN w:val="0"/>
              <w:adjustRightInd w:val="0"/>
              <w:ind w:left="720"/>
              <w:rPr>
                <w:b/>
              </w:rPr>
            </w:pPr>
            <w:r>
              <w:rPr>
                <w:b/>
              </w:rPr>
              <w:t xml:space="preserve">Permanent Supportive Housing </w:t>
            </w:r>
            <w:r w:rsidRPr="007C4106">
              <w:rPr>
                <w:b/>
                <w:sz w:val="24"/>
              </w:rPr>
              <w:t xml:space="preserve">– </w:t>
            </w:r>
            <w:r w:rsidRPr="00D52039">
              <w:rPr>
                <w:sz w:val="24"/>
              </w:rPr>
              <w:t>Housing First and/or Low Barrier Implementation - CoC assessment of fidelity to Housing First from CoC monitoring or review of  project policies and procedures</w:t>
            </w:r>
          </w:p>
        </w:tc>
        <w:tc>
          <w:tcPr>
            <w:tcW w:w="2340" w:type="dxa"/>
          </w:tcPr>
          <w:p w14:paraId="6E666D86" w14:textId="77777777" w:rsidR="00E648E3" w:rsidRDefault="00E648E3" w:rsidP="00E648E3">
            <w:pPr>
              <w:jc w:val="center"/>
            </w:pPr>
          </w:p>
          <w:p w14:paraId="6DB7C20B" w14:textId="6A84A50A" w:rsidR="00E648E3" w:rsidRDefault="00E648E3" w:rsidP="00E648E3">
            <w:pPr>
              <w:jc w:val="center"/>
            </w:pPr>
            <w:r w:rsidRPr="007F39A2">
              <w:t>Yes/No</w:t>
            </w:r>
          </w:p>
        </w:tc>
        <w:tc>
          <w:tcPr>
            <w:tcW w:w="1643" w:type="dxa"/>
          </w:tcPr>
          <w:p w14:paraId="7DBC581B" w14:textId="77777777" w:rsidR="00E648E3" w:rsidRDefault="00E648E3" w:rsidP="00E648E3">
            <w:pPr>
              <w:autoSpaceDE w:val="0"/>
              <w:autoSpaceDN w:val="0"/>
              <w:adjustRightInd w:val="0"/>
            </w:pPr>
          </w:p>
          <w:p w14:paraId="3D9C036D" w14:textId="3D8CFE18" w:rsidR="00E648E3" w:rsidRDefault="00E648E3" w:rsidP="00E648E3">
            <w:pPr>
              <w:autoSpaceDE w:val="0"/>
              <w:autoSpaceDN w:val="0"/>
              <w:adjustRightInd w:val="0"/>
            </w:pPr>
            <w:r w:rsidRPr="00EB212A">
              <w:t xml:space="preserve">20 points </w:t>
            </w:r>
          </w:p>
        </w:tc>
      </w:tr>
      <w:tr w:rsidR="00E648E3" w14:paraId="400B6015" w14:textId="77777777" w:rsidTr="00E648E3">
        <w:trPr>
          <w:trHeight w:val="903"/>
        </w:trPr>
        <w:tc>
          <w:tcPr>
            <w:tcW w:w="6907" w:type="dxa"/>
            <w:vAlign w:val="center"/>
          </w:tcPr>
          <w:p w14:paraId="438F48B0" w14:textId="37E370CC" w:rsidR="00E648E3" w:rsidRDefault="00E648E3" w:rsidP="00E648E3">
            <w:pPr>
              <w:autoSpaceDE w:val="0"/>
              <w:autoSpaceDN w:val="0"/>
              <w:adjustRightInd w:val="0"/>
              <w:ind w:left="720"/>
              <w:rPr>
                <w:b/>
              </w:rPr>
            </w:pPr>
            <w:r>
              <w:rPr>
                <w:b/>
              </w:rPr>
              <w:t xml:space="preserve">Transitional Housing </w:t>
            </w:r>
            <w:r w:rsidRPr="007C4106">
              <w:rPr>
                <w:b/>
                <w:sz w:val="24"/>
              </w:rPr>
              <w:t xml:space="preserve">– </w:t>
            </w:r>
            <w:r w:rsidRPr="00D52039">
              <w:rPr>
                <w:sz w:val="24"/>
              </w:rPr>
              <w:t>Housing First and/or Low Barrier Implementation - CoC assessment of fidelity to Housing First from CoC monitoring or review of  project policies and procedures</w:t>
            </w:r>
          </w:p>
        </w:tc>
        <w:tc>
          <w:tcPr>
            <w:tcW w:w="2340" w:type="dxa"/>
          </w:tcPr>
          <w:p w14:paraId="64FCA2FA" w14:textId="77777777" w:rsidR="00E648E3" w:rsidRDefault="00E648E3" w:rsidP="00E648E3">
            <w:pPr>
              <w:jc w:val="center"/>
            </w:pPr>
          </w:p>
          <w:p w14:paraId="6AE4520A" w14:textId="4B053CDE" w:rsidR="00E648E3" w:rsidRDefault="00E648E3" w:rsidP="00E648E3">
            <w:pPr>
              <w:jc w:val="center"/>
            </w:pPr>
            <w:r w:rsidRPr="007F39A2">
              <w:t>Yes/No</w:t>
            </w:r>
          </w:p>
        </w:tc>
        <w:tc>
          <w:tcPr>
            <w:tcW w:w="1643" w:type="dxa"/>
          </w:tcPr>
          <w:p w14:paraId="22FCE7A4" w14:textId="77777777" w:rsidR="00E648E3" w:rsidRDefault="00E648E3" w:rsidP="00E648E3">
            <w:pPr>
              <w:autoSpaceDE w:val="0"/>
              <w:autoSpaceDN w:val="0"/>
              <w:adjustRightInd w:val="0"/>
            </w:pPr>
          </w:p>
          <w:p w14:paraId="542C3C1F" w14:textId="5B4F53FF" w:rsidR="00E648E3" w:rsidRDefault="00E648E3" w:rsidP="00E648E3">
            <w:pPr>
              <w:autoSpaceDE w:val="0"/>
              <w:autoSpaceDN w:val="0"/>
              <w:adjustRightInd w:val="0"/>
            </w:pPr>
            <w:r w:rsidRPr="00EB212A">
              <w:t xml:space="preserve">20 points </w:t>
            </w:r>
          </w:p>
        </w:tc>
      </w:tr>
      <w:tr w:rsidR="00E648E3" w14:paraId="530543EF" w14:textId="77777777" w:rsidTr="00E648E3">
        <w:trPr>
          <w:trHeight w:val="453"/>
        </w:trPr>
        <w:tc>
          <w:tcPr>
            <w:tcW w:w="10890" w:type="dxa"/>
            <w:gridSpan w:val="3"/>
            <w:shd w:val="clear" w:color="auto" w:fill="D9D9D9" w:themeFill="background1" w:themeFillShade="D9"/>
            <w:vAlign w:val="center"/>
          </w:tcPr>
          <w:p w14:paraId="1EF25DCD" w14:textId="71DC3C0E" w:rsidR="00E648E3" w:rsidRDefault="00E648E3" w:rsidP="00E648E3">
            <w:pPr>
              <w:autoSpaceDE w:val="0"/>
              <w:autoSpaceDN w:val="0"/>
              <w:adjustRightInd w:val="0"/>
            </w:pPr>
            <w:r>
              <w:rPr>
                <w:b/>
              </w:rPr>
              <w:t xml:space="preserve">CoC Local Criteria </w:t>
            </w:r>
          </w:p>
        </w:tc>
      </w:tr>
      <w:tr w:rsidR="00E648E3" w14:paraId="4379C7DE" w14:textId="77777777" w:rsidTr="00E648E3">
        <w:trPr>
          <w:trHeight w:val="903"/>
        </w:trPr>
        <w:tc>
          <w:tcPr>
            <w:tcW w:w="6907" w:type="dxa"/>
            <w:vAlign w:val="center"/>
          </w:tcPr>
          <w:p w14:paraId="31C7FC03" w14:textId="42B78667" w:rsidR="00E648E3" w:rsidRDefault="00E648E3" w:rsidP="00E648E3">
            <w:pPr>
              <w:autoSpaceDE w:val="0"/>
              <w:autoSpaceDN w:val="0"/>
              <w:adjustRightInd w:val="0"/>
              <w:ind w:left="720"/>
              <w:rPr>
                <w:b/>
              </w:rPr>
            </w:pPr>
            <w:r>
              <w:rPr>
                <w:b/>
              </w:rPr>
              <w:t>CoC Monitoring Score</w:t>
            </w:r>
            <w:r w:rsidRPr="00D52039">
              <w:t>: Project is operating in conformance with CoC Standards</w:t>
            </w:r>
          </w:p>
        </w:tc>
        <w:tc>
          <w:tcPr>
            <w:tcW w:w="2340" w:type="dxa"/>
          </w:tcPr>
          <w:p w14:paraId="2D109207" w14:textId="77777777" w:rsidR="00E648E3" w:rsidRDefault="00E648E3" w:rsidP="00E648E3">
            <w:pPr>
              <w:jc w:val="center"/>
            </w:pPr>
          </w:p>
          <w:p w14:paraId="601BBD6E" w14:textId="1EBA2746" w:rsidR="00E648E3" w:rsidRDefault="00E648E3" w:rsidP="00E648E3">
            <w:pPr>
              <w:jc w:val="center"/>
            </w:pPr>
            <w:r w:rsidRPr="007F39A2">
              <w:t>Yes/No</w:t>
            </w:r>
          </w:p>
        </w:tc>
        <w:tc>
          <w:tcPr>
            <w:tcW w:w="1643" w:type="dxa"/>
          </w:tcPr>
          <w:p w14:paraId="2C89E5D0" w14:textId="77777777" w:rsidR="00E648E3" w:rsidRDefault="00E648E3" w:rsidP="00E648E3">
            <w:pPr>
              <w:autoSpaceDE w:val="0"/>
              <w:autoSpaceDN w:val="0"/>
              <w:adjustRightInd w:val="0"/>
            </w:pPr>
          </w:p>
          <w:p w14:paraId="233F0399" w14:textId="72BFAA59" w:rsidR="00E648E3" w:rsidRDefault="00E648E3" w:rsidP="00E648E3">
            <w:pPr>
              <w:autoSpaceDE w:val="0"/>
              <w:autoSpaceDN w:val="0"/>
              <w:adjustRightInd w:val="0"/>
            </w:pPr>
            <w:r>
              <w:t>1</w:t>
            </w:r>
            <w:r w:rsidRPr="00EB212A">
              <w:t>0 points</w:t>
            </w:r>
          </w:p>
        </w:tc>
      </w:tr>
      <w:tr w:rsidR="00E648E3" w14:paraId="11AC5415" w14:textId="77777777" w:rsidTr="00E648E3">
        <w:trPr>
          <w:trHeight w:val="435"/>
        </w:trPr>
        <w:tc>
          <w:tcPr>
            <w:tcW w:w="10890" w:type="dxa"/>
            <w:gridSpan w:val="3"/>
            <w:shd w:val="clear" w:color="auto" w:fill="D9D9D9" w:themeFill="background1" w:themeFillShade="D9"/>
            <w:vAlign w:val="center"/>
          </w:tcPr>
          <w:p w14:paraId="4259FF84" w14:textId="6A09796D" w:rsidR="00E648E3" w:rsidRDefault="00E648E3" w:rsidP="00E648E3">
            <w:pPr>
              <w:autoSpaceDE w:val="0"/>
              <w:autoSpaceDN w:val="0"/>
              <w:adjustRightInd w:val="0"/>
            </w:pPr>
            <w:r>
              <w:rPr>
                <w:b/>
              </w:rPr>
              <w:t>Total Points Possible</w:t>
            </w:r>
          </w:p>
        </w:tc>
      </w:tr>
      <w:tr w:rsidR="00E648E3" w14:paraId="0C5DF7F7" w14:textId="77777777" w:rsidTr="00E648E3">
        <w:trPr>
          <w:trHeight w:val="903"/>
        </w:trPr>
        <w:tc>
          <w:tcPr>
            <w:tcW w:w="6907" w:type="dxa"/>
            <w:vAlign w:val="center"/>
          </w:tcPr>
          <w:p w14:paraId="7286E8F0" w14:textId="77777777" w:rsidR="00E648E3" w:rsidRDefault="00E648E3" w:rsidP="00E648E3">
            <w:pPr>
              <w:autoSpaceDE w:val="0"/>
              <w:autoSpaceDN w:val="0"/>
              <w:adjustRightInd w:val="0"/>
              <w:ind w:left="720"/>
              <w:rPr>
                <w:b/>
              </w:rPr>
            </w:pPr>
            <w:r>
              <w:rPr>
                <w:b/>
              </w:rPr>
              <w:t>Rapid Rehousing</w:t>
            </w:r>
          </w:p>
          <w:p w14:paraId="607C5C7C" w14:textId="213ACDE9" w:rsidR="00E648E3" w:rsidRDefault="00E648E3" w:rsidP="00E648E3">
            <w:pPr>
              <w:autoSpaceDE w:val="0"/>
              <w:autoSpaceDN w:val="0"/>
              <w:adjustRightInd w:val="0"/>
              <w:ind w:left="720"/>
              <w:rPr>
                <w:b/>
              </w:rPr>
            </w:pPr>
            <w:r>
              <w:rPr>
                <w:b/>
              </w:rPr>
              <w:t>Transitional Housing</w:t>
            </w:r>
          </w:p>
        </w:tc>
        <w:tc>
          <w:tcPr>
            <w:tcW w:w="2340" w:type="dxa"/>
          </w:tcPr>
          <w:p w14:paraId="701CE4CE" w14:textId="77777777" w:rsidR="00E648E3" w:rsidRDefault="00E648E3" w:rsidP="00E648E3">
            <w:pPr>
              <w:jc w:val="center"/>
            </w:pPr>
          </w:p>
          <w:p w14:paraId="1DF4D99D" w14:textId="7E1B299C" w:rsidR="00E648E3" w:rsidRDefault="00E648E3" w:rsidP="00E648E3">
            <w:pPr>
              <w:jc w:val="center"/>
            </w:pPr>
            <w:r>
              <w:t xml:space="preserve">Total </w:t>
            </w:r>
          </w:p>
        </w:tc>
        <w:tc>
          <w:tcPr>
            <w:tcW w:w="1643" w:type="dxa"/>
          </w:tcPr>
          <w:p w14:paraId="5380B727" w14:textId="77777777" w:rsidR="00E648E3" w:rsidRDefault="00E648E3" w:rsidP="00E648E3">
            <w:pPr>
              <w:autoSpaceDE w:val="0"/>
              <w:autoSpaceDN w:val="0"/>
              <w:adjustRightInd w:val="0"/>
            </w:pPr>
          </w:p>
          <w:p w14:paraId="554D2A56" w14:textId="7D69162D" w:rsidR="00E648E3" w:rsidRDefault="00E648E3" w:rsidP="00E648E3">
            <w:pPr>
              <w:autoSpaceDE w:val="0"/>
              <w:autoSpaceDN w:val="0"/>
              <w:adjustRightInd w:val="0"/>
            </w:pPr>
            <w:r>
              <w:t>160 points</w:t>
            </w:r>
          </w:p>
        </w:tc>
      </w:tr>
      <w:tr w:rsidR="00E648E3" w14:paraId="6D5C4B4D" w14:textId="77777777" w:rsidTr="00E648E3">
        <w:trPr>
          <w:trHeight w:val="903"/>
        </w:trPr>
        <w:tc>
          <w:tcPr>
            <w:tcW w:w="6907" w:type="dxa"/>
            <w:vAlign w:val="center"/>
          </w:tcPr>
          <w:p w14:paraId="70AB8627" w14:textId="285F4657" w:rsidR="00E648E3" w:rsidRDefault="00E648E3" w:rsidP="00E648E3">
            <w:pPr>
              <w:autoSpaceDE w:val="0"/>
              <w:autoSpaceDN w:val="0"/>
              <w:adjustRightInd w:val="0"/>
              <w:ind w:left="720"/>
              <w:rPr>
                <w:b/>
              </w:rPr>
            </w:pPr>
            <w:r>
              <w:rPr>
                <w:b/>
              </w:rPr>
              <w:lastRenderedPageBreak/>
              <w:t>Permanent Supportive Housing</w:t>
            </w:r>
          </w:p>
        </w:tc>
        <w:tc>
          <w:tcPr>
            <w:tcW w:w="2340" w:type="dxa"/>
          </w:tcPr>
          <w:p w14:paraId="78D394FD" w14:textId="77777777" w:rsidR="00E648E3" w:rsidRDefault="00E648E3" w:rsidP="00E648E3">
            <w:pPr>
              <w:jc w:val="center"/>
            </w:pPr>
          </w:p>
          <w:p w14:paraId="7F4685D8" w14:textId="7BEDAA5D" w:rsidR="00E648E3" w:rsidRDefault="00E648E3" w:rsidP="00E648E3">
            <w:pPr>
              <w:jc w:val="center"/>
            </w:pPr>
            <w:r>
              <w:t>Total</w:t>
            </w:r>
          </w:p>
        </w:tc>
        <w:tc>
          <w:tcPr>
            <w:tcW w:w="1643" w:type="dxa"/>
          </w:tcPr>
          <w:p w14:paraId="5D2EBFF3" w14:textId="77777777" w:rsidR="00E648E3" w:rsidRDefault="00E648E3" w:rsidP="00E648E3">
            <w:pPr>
              <w:autoSpaceDE w:val="0"/>
              <w:autoSpaceDN w:val="0"/>
              <w:adjustRightInd w:val="0"/>
            </w:pPr>
          </w:p>
          <w:p w14:paraId="4F899D17" w14:textId="48F8244F" w:rsidR="00E648E3" w:rsidRDefault="00E648E3" w:rsidP="00E648E3">
            <w:pPr>
              <w:autoSpaceDE w:val="0"/>
              <w:autoSpaceDN w:val="0"/>
              <w:adjustRightInd w:val="0"/>
            </w:pPr>
            <w:r>
              <w:t>140 points</w:t>
            </w:r>
          </w:p>
        </w:tc>
      </w:tr>
    </w:tbl>
    <w:p w14:paraId="41AE822E" w14:textId="4DBF4B67" w:rsidR="00E648E3" w:rsidRDefault="00E648E3" w:rsidP="00E648E3">
      <w:pPr>
        <w:tabs>
          <w:tab w:val="left" w:pos="4214"/>
        </w:tabs>
        <w:rPr>
          <w:i/>
        </w:rPr>
      </w:pPr>
      <w:r>
        <w:tab/>
      </w:r>
    </w:p>
    <w:p w14:paraId="3EBC86FC" w14:textId="5271A501" w:rsidR="00E648E3" w:rsidRPr="00E648E3" w:rsidRDefault="00E648E3" w:rsidP="00E648E3">
      <w:pPr>
        <w:tabs>
          <w:tab w:val="left" w:pos="4214"/>
        </w:tabs>
        <w:jc w:val="center"/>
        <w:rPr>
          <w:i/>
        </w:rPr>
      </w:pPr>
      <w:r>
        <w:rPr>
          <w:i/>
        </w:rPr>
        <w:t>All scores will be weighted to a 100-point scale for ranking.</w:t>
      </w:r>
    </w:p>
    <w:p w14:paraId="4760154C" w14:textId="37CA3731" w:rsidR="00E648E3" w:rsidRDefault="00E648E3">
      <w:r>
        <w:br w:type="page"/>
      </w:r>
    </w:p>
    <w:p w14:paraId="61D3326A" w14:textId="43B1695A" w:rsidR="00E648E3" w:rsidRPr="00813BF8" w:rsidRDefault="00E648E3" w:rsidP="00E648E3">
      <w:pPr>
        <w:spacing w:line="240" w:lineRule="auto"/>
        <w:rPr>
          <w:b/>
          <w:color w:val="CF7347"/>
          <w:kern w:val="16"/>
          <w:sz w:val="24"/>
          <w:szCs w:val="24"/>
        </w:rPr>
      </w:pPr>
      <w:r>
        <w:rPr>
          <w:b/>
          <w:color w:val="CF7347"/>
          <w:kern w:val="16"/>
          <w:sz w:val="24"/>
          <w:szCs w:val="24"/>
        </w:rPr>
        <w:lastRenderedPageBreak/>
        <w:t>APPENDIX D</w:t>
      </w:r>
    </w:p>
    <w:tbl>
      <w:tblPr>
        <w:tblStyle w:val="TableGrid"/>
        <w:tblW w:w="10890" w:type="dxa"/>
        <w:tblInd w:w="-252" w:type="dxa"/>
        <w:tblLook w:val="04A0" w:firstRow="1" w:lastRow="0" w:firstColumn="1" w:lastColumn="0" w:noHBand="0" w:noVBand="1"/>
      </w:tblPr>
      <w:tblGrid>
        <w:gridCol w:w="8419"/>
        <w:gridCol w:w="2471"/>
      </w:tblGrid>
      <w:tr w:rsidR="00E648E3" w14:paraId="44C0CCE1" w14:textId="77777777" w:rsidTr="00E648E3">
        <w:tc>
          <w:tcPr>
            <w:tcW w:w="10890" w:type="dxa"/>
            <w:gridSpan w:val="2"/>
            <w:shd w:val="clear" w:color="auto" w:fill="000000" w:themeFill="text1"/>
          </w:tcPr>
          <w:p w14:paraId="7E41FE2C" w14:textId="3B66C7CA" w:rsidR="00E648E3" w:rsidRDefault="00E648E3" w:rsidP="00E648E3">
            <w:pPr>
              <w:jc w:val="center"/>
              <w:rPr>
                <w:b/>
                <w:color w:val="CF7347"/>
                <w:sz w:val="28"/>
              </w:rPr>
            </w:pPr>
            <w:r>
              <w:rPr>
                <w:b/>
                <w:color w:val="FFFFFF"/>
                <w:sz w:val="28"/>
              </w:rPr>
              <w:t>FY2021</w:t>
            </w:r>
            <w:r w:rsidRPr="00FD59E3">
              <w:rPr>
                <w:b/>
                <w:color w:val="FFFFFF"/>
                <w:sz w:val="28"/>
              </w:rPr>
              <w:t xml:space="preserve"> CoC </w:t>
            </w:r>
            <w:r>
              <w:rPr>
                <w:b/>
                <w:color w:val="FFFFFF"/>
                <w:sz w:val="28"/>
              </w:rPr>
              <w:t>New</w:t>
            </w:r>
            <w:r w:rsidRPr="0033716C">
              <w:rPr>
                <w:b/>
                <w:color w:val="FFFFFF"/>
                <w:sz w:val="28"/>
              </w:rPr>
              <w:t xml:space="preserve"> </w:t>
            </w:r>
            <w:r>
              <w:rPr>
                <w:b/>
                <w:color w:val="FFFFFF"/>
                <w:sz w:val="28"/>
              </w:rPr>
              <w:t>Project –Scoring Tool</w:t>
            </w:r>
          </w:p>
        </w:tc>
      </w:tr>
      <w:tr w:rsidR="00E648E3" w14:paraId="3E0CADA6" w14:textId="77777777" w:rsidTr="00E648E3">
        <w:tc>
          <w:tcPr>
            <w:tcW w:w="8419" w:type="dxa"/>
            <w:shd w:val="clear" w:color="auto" w:fill="BFBFBF" w:themeFill="background1" w:themeFillShade="BF"/>
            <w:vAlign w:val="center"/>
          </w:tcPr>
          <w:p w14:paraId="3380A6FC" w14:textId="77777777" w:rsidR="00E648E3" w:rsidRPr="00142783" w:rsidRDefault="00E648E3" w:rsidP="00E648E3">
            <w:pPr>
              <w:rPr>
                <w:b/>
              </w:rPr>
            </w:pPr>
            <w:r w:rsidRPr="00142783">
              <w:rPr>
                <w:b/>
              </w:rPr>
              <w:t>Outcome</w:t>
            </w:r>
          </w:p>
        </w:tc>
        <w:tc>
          <w:tcPr>
            <w:tcW w:w="2471" w:type="dxa"/>
            <w:shd w:val="clear" w:color="auto" w:fill="BFBFBF" w:themeFill="background1" w:themeFillShade="BF"/>
            <w:vAlign w:val="center"/>
          </w:tcPr>
          <w:p w14:paraId="433AB3B3" w14:textId="614E8AA1" w:rsidR="00E648E3" w:rsidRPr="00142783" w:rsidRDefault="00E648E3" w:rsidP="00E648E3">
            <w:pPr>
              <w:jc w:val="center"/>
              <w:rPr>
                <w:b/>
              </w:rPr>
            </w:pPr>
            <w:r>
              <w:rPr>
                <w:b/>
              </w:rPr>
              <w:t>Max points</w:t>
            </w:r>
          </w:p>
        </w:tc>
      </w:tr>
      <w:tr w:rsidR="00E648E3" w14:paraId="36665741" w14:textId="77777777" w:rsidTr="00E648E3">
        <w:trPr>
          <w:trHeight w:val="471"/>
        </w:trPr>
        <w:tc>
          <w:tcPr>
            <w:tcW w:w="10890" w:type="dxa"/>
            <w:gridSpan w:val="2"/>
            <w:shd w:val="clear" w:color="auto" w:fill="D9D9D9" w:themeFill="background1" w:themeFillShade="D9"/>
            <w:vAlign w:val="center"/>
          </w:tcPr>
          <w:p w14:paraId="076E880F" w14:textId="553E0F96" w:rsidR="00E648E3" w:rsidRPr="002703B0" w:rsidRDefault="00E648E3" w:rsidP="00E648E3">
            <w:pPr>
              <w:autoSpaceDE w:val="0"/>
              <w:autoSpaceDN w:val="0"/>
              <w:adjustRightInd w:val="0"/>
              <w:rPr>
                <w:rFonts w:cs="Calibri"/>
                <w:color w:val="000000"/>
              </w:rPr>
            </w:pPr>
            <w:r>
              <w:rPr>
                <w:b/>
              </w:rPr>
              <w:t>Experience</w:t>
            </w:r>
          </w:p>
        </w:tc>
      </w:tr>
      <w:tr w:rsidR="00E648E3" w14:paraId="036A3FE0" w14:textId="77777777" w:rsidTr="001B3DD7">
        <w:trPr>
          <w:trHeight w:val="885"/>
        </w:trPr>
        <w:tc>
          <w:tcPr>
            <w:tcW w:w="8419" w:type="dxa"/>
            <w:vAlign w:val="center"/>
          </w:tcPr>
          <w:p w14:paraId="239BD853" w14:textId="77777777" w:rsidR="00E648E3" w:rsidRDefault="00E648E3" w:rsidP="00E648E3">
            <w:pPr>
              <w:ind w:left="720"/>
            </w:pPr>
            <w:r w:rsidRPr="00E648E3">
              <w:t>Describe the experience of the applicant and sub-recipients (if any) in working with the proposed population and in providing housing similar to that proposed in the application.</w:t>
            </w:r>
          </w:p>
          <w:p w14:paraId="79ABA54F" w14:textId="7D7599D7" w:rsidR="001B3DD7" w:rsidRPr="00E648E3" w:rsidRDefault="001B3DD7" w:rsidP="00E648E3">
            <w:pPr>
              <w:ind w:left="720"/>
            </w:pPr>
          </w:p>
        </w:tc>
        <w:tc>
          <w:tcPr>
            <w:tcW w:w="2471" w:type="dxa"/>
            <w:vAlign w:val="center"/>
          </w:tcPr>
          <w:p w14:paraId="7FD0AC2D" w14:textId="5FD04AE3" w:rsidR="00E648E3" w:rsidRPr="00142783" w:rsidRDefault="00E648E3" w:rsidP="00E648E3">
            <w:pPr>
              <w:autoSpaceDE w:val="0"/>
              <w:autoSpaceDN w:val="0"/>
              <w:adjustRightInd w:val="0"/>
              <w:rPr>
                <w:rFonts w:cs="Calibri"/>
                <w:color w:val="000000"/>
              </w:rPr>
            </w:pPr>
            <w:r>
              <w:t xml:space="preserve">15 points </w:t>
            </w:r>
          </w:p>
        </w:tc>
      </w:tr>
      <w:tr w:rsidR="00E648E3" w14:paraId="442AD281" w14:textId="77777777" w:rsidTr="001B3DD7">
        <w:trPr>
          <w:trHeight w:val="885"/>
        </w:trPr>
        <w:tc>
          <w:tcPr>
            <w:tcW w:w="8419" w:type="dxa"/>
            <w:vAlign w:val="center"/>
          </w:tcPr>
          <w:p w14:paraId="4642C5A1" w14:textId="2A184FEC" w:rsidR="00E648E3" w:rsidRPr="00E648E3" w:rsidRDefault="00E648E3" w:rsidP="00E648E3">
            <w:pPr>
              <w:ind w:left="720"/>
            </w:pPr>
            <w:r w:rsidRPr="00E648E3">
              <w:t>Describe experience with utilizing a Housing First approach.  Include the following:</w:t>
            </w:r>
          </w:p>
          <w:p w14:paraId="3FE880CB" w14:textId="77777777" w:rsidR="00E648E3" w:rsidRPr="00E648E3" w:rsidRDefault="00E648E3" w:rsidP="00E648E3">
            <w:pPr>
              <w:ind w:left="1440"/>
            </w:pPr>
            <w:r w:rsidRPr="00E648E3">
              <w:t xml:space="preserve"> 1) eligibility criteria; </w:t>
            </w:r>
          </w:p>
          <w:p w14:paraId="11468C3C" w14:textId="77777777" w:rsidR="00E648E3" w:rsidRPr="00E648E3" w:rsidRDefault="00E648E3" w:rsidP="00E648E3">
            <w:pPr>
              <w:ind w:left="1440"/>
            </w:pPr>
            <w:r w:rsidRPr="00E648E3">
              <w:t>2) process for accepting new clients;</w:t>
            </w:r>
          </w:p>
          <w:p w14:paraId="1CF9C578" w14:textId="77777777" w:rsidR="00E648E3" w:rsidRPr="00E648E3" w:rsidRDefault="00E648E3" w:rsidP="00E648E3">
            <w:pPr>
              <w:ind w:left="1440"/>
            </w:pPr>
            <w:r w:rsidRPr="00E648E3">
              <w:t xml:space="preserve">3) process and criteria for exiting clients.  </w:t>
            </w:r>
          </w:p>
          <w:p w14:paraId="013D47E6" w14:textId="77777777" w:rsidR="00E648E3" w:rsidRPr="00E648E3" w:rsidRDefault="00E648E3" w:rsidP="00E648E3">
            <w:pPr>
              <w:ind w:left="1440"/>
            </w:pPr>
          </w:p>
          <w:p w14:paraId="6D39BED9" w14:textId="77777777" w:rsidR="00E648E3" w:rsidRDefault="00E648E3" w:rsidP="00E648E3">
            <w:pPr>
              <w:ind w:left="720"/>
            </w:pPr>
            <w:r w:rsidRPr="00E648E3">
              <w:t>Must demonstrate there are no preconditions to entry, allowing entry regardless of current or past substance abuse, income, criminal records (with exceptions of restrictions imposed by federal, state, or local law or ordinance), marital status, familial status, actual or perceived sexual orientation, gender identity. Must demonstrate the project has a process to address situations that may jeopardize housing or project assistance to ensure that project participation is terminated in only the most severe cases.</w:t>
            </w:r>
          </w:p>
          <w:p w14:paraId="7736BC8E" w14:textId="43995AB6" w:rsidR="001B3DD7" w:rsidRPr="00E648E3" w:rsidRDefault="001B3DD7" w:rsidP="00E648E3">
            <w:pPr>
              <w:ind w:left="720"/>
            </w:pPr>
          </w:p>
        </w:tc>
        <w:tc>
          <w:tcPr>
            <w:tcW w:w="2471" w:type="dxa"/>
            <w:vAlign w:val="center"/>
          </w:tcPr>
          <w:p w14:paraId="54F1327D" w14:textId="5F0FE7DB" w:rsidR="00E648E3" w:rsidRDefault="00E648E3" w:rsidP="00E648E3">
            <w:pPr>
              <w:autoSpaceDE w:val="0"/>
              <w:autoSpaceDN w:val="0"/>
              <w:adjustRightInd w:val="0"/>
              <w:rPr>
                <w:rFonts w:cs="Calibri"/>
                <w:color w:val="000000"/>
              </w:rPr>
            </w:pPr>
            <w:r>
              <w:t>10</w:t>
            </w:r>
            <w:r>
              <w:rPr>
                <w:rFonts w:cs="Calibri"/>
                <w:color w:val="000000"/>
              </w:rPr>
              <w:t xml:space="preserve"> points</w:t>
            </w:r>
          </w:p>
        </w:tc>
      </w:tr>
      <w:tr w:rsidR="00E648E3" w14:paraId="498B2E36" w14:textId="77777777" w:rsidTr="001B3DD7">
        <w:tc>
          <w:tcPr>
            <w:tcW w:w="8419" w:type="dxa"/>
            <w:vAlign w:val="center"/>
          </w:tcPr>
          <w:p w14:paraId="26FBC038" w14:textId="77777777" w:rsidR="00E648E3" w:rsidRDefault="00E648E3" w:rsidP="00E648E3">
            <w:pPr>
              <w:autoSpaceDE w:val="0"/>
              <w:autoSpaceDN w:val="0"/>
              <w:adjustRightInd w:val="0"/>
              <w:ind w:left="720"/>
            </w:pPr>
            <w:r w:rsidRPr="00E648E3">
              <w:t>Describe experience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w:t>
            </w:r>
          </w:p>
          <w:p w14:paraId="10074407" w14:textId="51CC5593" w:rsidR="001B3DD7" w:rsidRPr="00E648E3" w:rsidRDefault="001B3DD7" w:rsidP="00E648E3">
            <w:pPr>
              <w:autoSpaceDE w:val="0"/>
              <w:autoSpaceDN w:val="0"/>
              <w:adjustRightInd w:val="0"/>
              <w:ind w:left="720"/>
            </w:pPr>
          </w:p>
        </w:tc>
        <w:tc>
          <w:tcPr>
            <w:tcW w:w="2471" w:type="dxa"/>
            <w:vAlign w:val="center"/>
          </w:tcPr>
          <w:p w14:paraId="29A567C8" w14:textId="47324AB2" w:rsidR="00E648E3" w:rsidRPr="002703B0" w:rsidRDefault="00E648E3" w:rsidP="00E648E3">
            <w:pPr>
              <w:autoSpaceDE w:val="0"/>
              <w:autoSpaceDN w:val="0"/>
              <w:adjustRightInd w:val="0"/>
              <w:rPr>
                <w:rFonts w:cs="Calibri"/>
                <w:color w:val="000000"/>
              </w:rPr>
            </w:pPr>
            <w:r>
              <w:rPr>
                <w:rFonts w:cs="Calibri"/>
                <w:color w:val="000000"/>
              </w:rPr>
              <w:t>5 points</w:t>
            </w:r>
          </w:p>
        </w:tc>
      </w:tr>
      <w:tr w:rsidR="00E648E3" w14:paraId="60A5AF30" w14:textId="77777777" w:rsidTr="00E648E3">
        <w:trPr>
          <w:trHeight w:val="462"/>
        </w:trPr>
        <w:tc>
          <w:tcPr>
            <w:tcW w:w="10890" w:type="dxa"/>
            <w:gridSpan w:val="2"/>
            <w:shd w:val="clear" w:color="auto" w:fill="D9D9D9" w:themeFill="background1" w:themeFillShade="D9"/>
            <w:vAlign w:val="center"/>
          </w:tcPr>
          <w:p w14:paraId="7B78B431" w14:textId="0C7F972B" w:rsidR="00E648E3" w:rsidRPr="008A7205" w:rsidRDefault="00E648E3" w:rsidP="00E648E3">
            <w:pPr>
              <w:autoSpaceDE w:val="0"/>
              <w:autoSpaceDN w:val="0"/>
              <w:adjustRightInd w:val="0"/>
              <w:rPr>
                <w:rFonts w:cs="Calibri"/>
                <w:b/>
                <w:color w:val="000000"/>
              </w:rPr>
            </w:pPr>
            <w:r>
              <w:rPr>
                <w:rFonts w:cs="Calibri"/>
                <w:b/>
                <w:color w:val="000000"/>
              </w:rPr>
              <w:t>Design of Housing and Supportive Services</w:t>
            </w:r>
          </w:p>
        </w:tc>
      </w:tr>
      <w:tr w:rsidR="00E648E3" w14:paraId="6177566A" w14:textId="77777777" w:rsidTr="001B3DD7">
        <w:trPr>
          <w:trHeight w:val="903"/>
        </w:trPr>
        <w:tc>
          <w:tcPr>
            <w:tcW w:w="8419" w:type="dxa"/>
            <w:vAlign w:val="center"/>
          </w:tcPr>
          <w:p w14:paraId="14A91A6C" w14:textId="1DA2977B" w:rsidR="00E648E3" w:rsidRPr="00E648E3" w:rsidRDefault="00E648E3" w:rsidP="00E648E3">
            <w:pPr>
              <w:ind w:left="720"/>
            </w:pPr>
            <w:r w:rsidRPr="00E648E3">
              <w:t>Extent to which the applicant:</w:t>
            </w:r>
          </w:p>
          <w:p w14:paraId="3D836AA8" w14:textId="77777777" w:rsidR="00E648E3" w:rsidRDefault="00E648E3" w:rsidP="00E648E3">
            <w:pPr>
              <w:ind w:left="1440"/>
            </w:pPr>
            <w:r w:rsidRPr="00E648E3">
              <w:t xml:space="preserve">1) Demonstrates understanding of the needs of the clients to be served. </w:t>
            </w:r>
          </w:p>
          <w:p w14:paraId="18F6AD95" w14:textId="12435E40" w:rsidR="00E648E3" w:rsidRPr="00E648E3" w:rsidRDefault="00E648E3" w:rsidP="00E648E3">
            <w:pPr>
              <w:ind w:left="1440"/>
            </w:pPr>
            <w:r w:rsidRPr="00E648E3">
              <w:t xml:space="preserve">2) Demonstrates that type, scale, and location of the housing fit the needs of the clients to be served. </w:t>
            </w:r>
          </w:p>
          <w:p w14:paraId="2AB3F209" w14:textId="77777777" w:rsidR="00E648E3" w:rsidRPr="00E648E3" w:rsidRDefault="00E648E3" w:rsidP="00E648E3">
            <w:pPr>
              <w:ind w:left="1440"/>
            </w:pPr>
            <w:r w:rsidRPr="00E648E3">
              <w:t xml:space="preserve">3) Demonstrates that type and scale of the all supportive services, regardless of funding source, meets the needs of clients to be served. </w:t>
            </w:r>
          </w:p>
          <w:p w14:paraId="1A75C051" w14:textId="77777777" w:rsidR="00E648E3" w:rsidRPr="00E648E3" w:rsidRDefault="00E648E3" w:rsidP="00E648E3">
            <w:pPr>
              <w:ind w:left="1440"/>
            </w:pPr>
            <w:r w:rsidRPr="00E648E3">
              <w:t xml:space="preserve">4) Demonstrates how clients will be assisted in obtaining mainstream benefits. </w:t>
            </w:r>
          </w:p>
          <w:p w14:paraId="68B0DA7E" w14:textId="77777777" w:rsidR="00E648E3" w:rsidRDefault="00E648E3" w:rsidP="00E648E3">
            <w:pPr>
              <w:ind w:left="1440"/>
            </w:pPr>
            <w:r w:rsidRPr="00E648E3">
              <w:t>5) Establishes performances measures for housing and income that are objective, measurable, trackable and meet or exceed any established HUD or CoC benchmarks.</w:t>
            </w:r>
          </w:p>
          <w:p w14:paraId="4F3EBA26" w14:textId="62E0E4A8" w:rsidR="001B3DD7" w:rsidRPr="00142783" w:rsidRDefault="001B3DD7" w:rsidP="00E648E3">
            <w:pPr>
              <w:ind w:left="1440"/>
              <w:rPr>
                <w:b/>
              </w:rPr>
            </w:pPr>
          </w:p>
        </w:tc>
        <w:tc>
          <w:tcPr>
            <w:tcW w:w="2471" w:type="dxa"/>
            <w:vAlign w:val="center"/>
          </w:tcPr>
          <w:p w14:paraId="01241CF3" w14:textId="7A236700" w:rsidR="00E648E3" w:rsidRPr="00142783" w:rsidRDefault="00E648E3" w:rsidP="00E648E3">
            <w:pPr>
              <w:autoSpaceDE w:val="0"/>
              <w:autoSpaceDN w:val="0"/>
              <w:adjustRightInd w:val="0"/>
              <w:rPr>
                <w:rFonts w:cs="Calibri"/>
                <w:color w:val="000000"/>
              </w:rPr>
            </w:pPr>
            <w:r>
              <w:rPr>
                <w:rFonts w:cs="Calibri"/>
                <w:color w:val="000000"/>
              </w:rPr>
              <w:t>20 points</w:t>
            </w:r>
          </w:p>
        </w:tc>
      </w:tr>
      <w:tr w:rsidR="00E648E3" w14:paraId="2A47A2E6" w14:textId="77777777" w:rsidTr="001B3DD7">
        <w:trPr>
          <w:trHeight w:val="1083"/>
        </w:trPr>
        <w:tc>
          <w:tcPr>
            <w:tcW w:w="8419" w:type="dxa"/>
            <w:vAlign w:val="center"/>
          </w:tcPr>
          <w:p w14:paraId="3A3B0CEE" w14:textId="351D0230" w:rsidR="00E648E3" w:rsidRPr="00E648E3" w:rsidRDefault="00E648E3" w:rsidP="00E648E3">
            <w:pPr>
              <w:ind w:left="720"/>
            </w:pPr>
            <w:r w:rsidRPr="00E648E3">
              <w:t>Describe the plan to assist clients to rapidly secure and maintain permanent housing that is safe, affordable, accessible, and acceptable to their needs.</w:t>
            </w:r>
          </w:p>
        </w:tc>
        <w:tc>
          <w:tcPr>
            <w:tcW w:w="2471" w:type="dxa"/>
            <w:vAlign w:val="center"/>
          </w:tcPr>
          <w:p w14:paraId="744C32D9" w14:textId="074364E1" w:rsidR="00E648E3" w:rsidRDefault="00E648E3" w:rsidP="00E648E3">
            <w:pPr>
              <w:autoSpaceDE w:val="0"/>
              <w:autoSpaceDN w:val="0"/>
              <w:adjustRightInd w:val="0"/>
              <w:rPr>
                <w:rFonts w:cs="Calibri"/>
                <w:color w:val="000000"/>
              </w:rPr>
            </w:pPr>
            <w:r>
              <w:rPr>
                <w:rFonts w:cs="Calibri"/>
                <w:color w:val="000000"/>
              </w:rPr>
              <w:t>10 points</w:t>
            </w:r>
          </w:p>
        </w:tc>
      </w:tr>
      <w:tr w:rsidR="00E648E3" w14:paraId="0B6ADA8D" w14:textId="77777777" w:rsidTr="001B3DD7">
        <w:trPr>
          <w:trHeight w:val="876"/>
        </w:trPr>
        <w:tc>
          <w:tcPr>
            <w:tcW w:w="8419" w:type="dxa"/>
            <w:vAlign w:val="center"/>
          </w:tcPr>
          <w:p w14:paraId="194112F8" w14:textId="20D47D15" w:rsidR="00E648E3" w:rsidRPr="00142783" w:rsidRDefault="00E648E3" w:rsidP="001B3DD7">
            <w:r w:rsidRPr="00E648E3">
              <w:lastRenderedPageBreak/>
              <w:t>Describe how clients will be assisted to increase employment and/or income and to maximize their ability to live independently.</w:t>
            </w:r>
          </w:p>
        </w:tc>
        <w:tc>
          <w:tcPr>
            <w:tcW w:w="2471" w:type="dxa"/>
            <w:vAlign w:val="center"/>
          </w:tcPr>
          <w:p w14:paraId="763941B6" w14:textId="77777777" w:rsidR="001B3DD7" w:rsidRDefault="001B3DD7" w:rsidP="00E648E3">
            <w:pPr>
              <w:rPr>
                <w:rFonts w:cs="Calibri"/>
                <w:color w:val="000000"/>
              </w:rPr>
            </w:pPr>
          </w:p>
          <w:p w14:paraId="0AC6D766" w14:textId="7E3E3952" w:rsidR="001B3DD7" w:rsidRDefault="00E648E3" w:rsidP="00E648E3">
            <w:pPr>
              <w:rPr>
                <w:rFonts w:cs="Calibri"/>
                <w:color w:val="000000"/>
              </w:rPr>
            </w:pPr>
            <w:r>
              <w:rPr>
                <w:rFonts w:cs="Calibri"/>
                <w:color w:val="000000"/>
              </w:rPr>
              <w:t>10 points</w:t>
            </w:r>
          </w:p>
          <w:p w14:paraId="52F2D009" w14:textId="77777777" w:rsidR="001B3DD7" w:rsidRDefault="001B3DD7" w:rsidP="00E648E3">
            <w:pPr>
              <w:rPr>
                <w:rFonts w:cs="Calibri"/>
                <w:color w:val="000000"/>
              </w:rPr>
            </w:pPr>
          </w:p>
          <w:p w14:paraId="32B957D2" w14:textId="10FCF294" w:rsidR="001B3DD7" w:rsidRPr="002703B0" w:rsidRDefault="001B3DD7" w:rsidP="00E648E3"/>
        </w:tc>
      </w:tr>
      <w:tr w:rsidR="00E648E3" w14:paraId="7A4283E5" w14:textId="77777777" w:rsidTr="00E648E3">
        <w:trPr>
          <w:trHeight w:val="417"/>
        </w:trPr>
        <w:tc>
          <w:tcPr>
            <w:tcW w:w="10890" w:type="dxa"/>
            <w:gridSpan w:val="2"/>
            <w:shd w:val="clear" w:color="auto" w:fill="D9D9D9" w:themeFill="background1" w:themeFillShade="D9"/>
            <w:vAlign w:val="center"/>
          </w:tcPr>
          <w:p w14:paraId="1D4EFCBC" w14:textId="261390EC" w:rsidR="00E648E3" w:rsidRPr="008A7205" w:rsidRDefault="00E648E3" w:rsidP="00E648E3">
            <w:pPr>
              <w:rPr>
                <w:rFonts w:cs="Calibri"/>
                <w:b/>
                <w:color w:val="000000"/>
              </w:rPr>
            </w:pPr>
            <w:r>
              <w:rPr>
                <w:rFonts w:cs="Calibri"/>
                <w:b/>
                <w:color w:val="000000"/>
              </w:rPr>
              <w:t>Timeliness</w:t>
            </w:r>
          </w:p>
        </w:tc>
      </w:tr>
      <w:tr w:rsidR="00E648E3" w14:paraId="6BF9DA29" w14:textId="77777777" w:rsidTr="001B3DD7">
        <w:trPr>
          <w:trHeight w:val="867"/>
        </w:trPr>
        <w:tc>
          <w:tcPr>
            <w:tcW w:w="8419" w:type="dxa"/>
            <w:vAlign w:val="center"/>
          </w:tcPr>
          <w:p w14:paraId="4A545DA2" w14:textId="77777777" w:rsidR="00E648E3" w:rsidRDefault="00E648E3" w:rsidP="00E648E3">
            <w:pPr>
              <w:ind w:left="720"/>
            </w:pPr>
            <w:r w:rsidRPr="00E648E3">
              <w:t>Describe plan for rapid implementation of the program, documenting how the project will be ready to begin housing the first program participant.  Provide a detailed schedule of proposed activities for 60 days, 120 days, and 180 days after grant award.</w:t>
            </w:r>
          </w:p>
          <w:p w14:paraId="64CAF2F5" w14:textId="50EA5F3C" w:rsidR="001B3DD7" w:rsidRPr="00E648E3" w:rsidRDefault="001B3DD7" w:rsidP="00E648E3">
            <w:pPr>
              <w:ind w:left="720"/>
            </w:pPr>
          </w:p>
        </w:tc>
        <w:tc>
          <w:tcPr>
            <w:tcW w:w="2471" w:type="dxa"/>
            <w:vAlign w:val="center"/>
          </w:tcPr>
          <w:p w14:paraId="5FDAE7C2" w14:textId="5C25B7F2" w:rsidR="00E648E3" w:rsidRPr="00142783" w:rsidRDefault="001B3DD7" w:rsidP="00E648E3">
            <w:pPr>
              <w:rPr>
                <w:rFonts w:cs="Calibri"/>
                <w:color w:val="000000"/>
              </w:rPr>
            </w:pPr>
            <w:r>
              <w:rPr>
                <w:rFonts w:cs="Calibri"/>
                <w:color w:val="000000"/>
              </w:rPr>
              <w:t>10 points</w:t>
            </w:r>
          </w:p>
        </w:tc>
      </w:tr>
      <w:tr w:rsidR="00E648E3" w14:paraId="2FE63896" w14:textId="77777777" w:rsidTr="00E648E3">
        <w:trPr>
          <w:trHeight w:val="489"/>
        </w:trPr>
        <w:tc>
          <w:tcPr>
            <w:tcW w:w="10890" w:type="dxa"/>
            <w:gridSpan w:val="2"/>
            <w:shd w:val="clear" w:color="auto" w:fill="D9D9D9" w:themeFill="background1" w:themeFillShade="D9"/>
            <w:vAlign w:val="center"/>
          </w:tcPr>
          <w:p w14:paraId="5630F9A6" w14:textId="08AEC1B2" w:rsidR="00E648E3" w:rsidRPr="007C4106" w:rsidRDefault="001B3DD7" w:rsidP="00E648E3">
            <w:pPr>
              <w:rPr>
                <w:b/>
              </w:rPr>
            </w:pPr>
            <w:r>
              <w:rPr>
                <w:b/>
              </w:rPr>
              <w:t>Financials</w:t>
            </w:r>
          </w:p>
        </w:tc>
      </w:tr>
      <w:tr w:rsidR="001B3DD7" w14:paraId="0A82AF67" w14:textId="77777777" w:rsidTr="0089119A">
        <w:trPr>
          <w:trHeight w:val="795"/>
        </w:trPr>
        <w:tc>
          <w:tcPr>
            <w:tcW w:w="8419" w:type="dxa"/>
            <w:vAlign w:val="center"/>
          </w:tcPr>
          <w:p w14:paraId="2E159FD2" w14:textId="59199438" w:rsidR="001B3DD7" w:rsidRPr="001B3DD7" w:rsidRDefault="001B3DD7" w:rsidP="00E648E3">
            <w:pPr>
              <w:ind w:left="720"/>
              <w:rPr>
                <w:rFonts w:cs="Calibri"/>
                <w:color w:val="808080"/>
                <w:sz w:val="20"/>
              </w:rPr>
            </w:pPr>
            <w:r w:rsidRPr="001B3DD7">
              <w:t>Project is cost-effective when projected cost per person served is compared to CoC average within project type.</w:t>
            </w:r>
          </w:p>
        </w:tc>
        <w:tc>
          <w:tcPr>
            <w:tcW w:w="2471" w:type="dxa"/>
            <w:vAlign w:val="center"/>
          </w:tcPr>
          <w:p w14:paraId="518F88DF" w14:textId="71FFFDC4" w:rsidR="001B3DD7" w:rsidRPr="002703B0" w:rsidRDefault="001B3DD7" w:rsidP="00E648E3">
            <w:r>
              <w:t xml:space="preserve">5 points </w:t>
            </w:r>
          </w:p>
        </w:tc>
      </w:tr>
      <w:tr w:rsidR="001B3DD7" w14:paraId="222BBD5F" w14:textId="77777777" w:rsidTr="0089119A">
        <w:trPr>
          <w:trHeight w:val="795"/>
        </w:trPr>
        <w:tc>
          <w:tcPr>
            <w:tcW w:w="8419" w:type="dxa"/>
            <w:vAlign w:val="center"/>
          </w:tcPr>
          <w:p w14:paraId="3A4E3483" w14:textId="1DB22D65" w:rsidR="001B3DD7" w:rsidRPr="001B3DD7" w:rsidRDefault="001B3DD7" w:rsidP="001B3DD7">
            <w:pPr>
              <w:ind w:left="720"/>
            </w:pPr>
            <w:r w:rsidRPr="001B3DD7">
              <w:t>Organization's most recent audit (5 points for each)</w:t>
            </w:r>
            <w:r w:rsidR="00AD3FC9">
              <w:t>:</w:t>
            </w:r>
          </w:p>
          <w:p w14:paraId="6B35E413" w14:textId="7862A2D0" w:rsidR="001B3DD7" w:rsidRPr="001B3DD7" w:rsidRDefault="001B3DD7" w:rsidP="001B3DD7">
            <w:pPr>
              <w:pStyle w:val="ListParagraph"/>
              <w:numPr>
                <w:ilvl w:val="6"/>
                <w:numId w:val="11"/>
              </w:numPr>
            </w:pPr>
            <w:r w:rsidRPr="001B3DD7">
              <w:t>Found no exceptions to standard practices</w:t>
            </w:r>
          </w:p>
          <w:p w14:paraId="0D5B2928" w14:textId="5595C51F" w:rsidR="001B3DD7" w:rsidRPr="001B3DD7" w:rsidRDefault="001B3DD7" w:rsidP="001B3DD7">
            <w:pPr>
              <w:pStyle w:val="ListParagraph"/>
              <w:numPr>
                <w:ilvl w:val="6"/>
                <w:numId w:val="11"/>
              </w:numPr>
            </w:pPr>
            <w:r w:rsidRPr="001B3DD7">
              <w:t xml:space="preserve">Identified agency as 'low risk' </w:t>
            </w:r>
          </w:p>
          <w:p w14:paraId="6DB81A97" w14:textId="1C7B0C4A" w:rsidR="001B3DD7" w:rsidRPr="001B3DD7" w:rsidRDefault="001B3DD7" w:rsidP="001B3DD7">
            <w:pPr>
              <w:pStyle w:val="ListParagraph"/>
              <w:numPr>
                <w:ilvl w:val="6"/>
                <w:numId w:val="11"/>
              </w:numPr>
            </w:pPr>
            <w:r w:rsidRPr="001B3DD7">
              <w:t>Indicates no findings</w:t>
            </w:r>
          </w:p>
          <w:p w14:paraId="528FB478" w14:textId="75BEFFC7" w:rsidR="001B3DD7" w:rsidRDefault="001B3DD7" w:rsidP="00E648E3">
            <w:pPr>
              <w:ind w:left="720"/>
              <w:rPr>
                <w:b/>
              </w:rPr>
            </w:pPr>
          </w:p>
        </w:tc>
        <w:tc>
          <w:tcPr>
            <w:tcW w:w="2471" w:type="dxa"/>
            <w:vAlign w:val="center"/>
          </w:tcPr>
          <w:p w14:paraId="030397C3" w14:textId="779A1F5B" w:rsidR="001B3DD7" w:rsidRDefault="001B3DD7" w:rsidP="001B3DD7"/>
          <w:p w14:paraId="419592C1" w14:textId="43AE4210" w:rsidR="001B3DD7" w:rsidRDefault="001B3DD7" w:rsidP="00E648E3">
            <w:r>
              <w:t xml:space="preserve">15 points </w:t>
            </w:r>
          </w:p>
        </w:tc>
      </w:tr>
      <w:tr w:rsidR="001B3DD7" w14:paraId="1373B465" w14:textId="77777777" w:rsidTr="0089119A">
        <w:trPr>
          <w:trHeight w:val="795"/>
        </w:trPr>
        <w:tc>
          <w:tcPr>
            <w:tcW w:w="8419" w:type="dxa"/>
            <w:vAlign w:val="center"/>
          </w:tcPr>
          <w:p w14:paraId="030CB564" w14:textId="2251A713" w:rsidR="001B3DD7" w:rsidRPr="001B3DD7" w:rsidRDefault="001B3DD7" w:rsidP="00E648E3">
            <w:pPr>
              <w:ind w:left="720"/>
            </w:pPr>
            <w:r w:rsidRPr="001B3DD7">
              <w:t xml:space="preserve">Documented match </w:t>
            </w:r>
            <w:r w:rsidR="00AD3FC9">
              <w:t xml:space="preserve">funding </w:t>
            </w:r>
            <w:r w:rsidRPr="001B3DD7">
              <w:t>amount meets HUD requirements.</w:t>
            </w:r>
          </w:p>
        </w:tc>
        <w:tc>
          <w:tcPr>
            <w:tcW w:w="2471" w:type="dxa"/>
            <w:vAlign w:val="center"/>
          </w:tcPr>
          <w:p w14:paraId="5FAD3915" w14:textId="72B9D422" w:rsidR="001B3DD7" w:rsidRDefault="001B3DD7" w:rsidP="00E648E3">
            <w:r>
              <w:t xml:space="preserve">10 points </w:t>
            </w:r>
          </w:p>
        </w:tc>
      </w:tr>
      <w:tr w:rsidR="001B3DD7" w14:paraId="13C6154D" w14:textId="77777777" w:rsidTr="0089119A">
        <w:trPr>
          <w:trHeight w:val="903"/>
        </w:trPr>
        <w:tc>
          <w:tcPr>
            <w:tcW w:w="8419" w:type="dxa"/>
            <w:vAlign w:val="center"/>
          </w:tcPr>
          <w:p w14:paraId="58DC5165" w14:textId="3D0B6907" w:rsidR="001B3DD7" w:rsidRPr="001B3DD7" w:rsidRDefault="001B3DD7" w:rsidP="00E648E3">
            <w:pPr>
              <w:autoSpaceDE w:val="0"/>
              <w:autoSpaceDN w:val="0"/>
              <w:adjustRightInd w:val="0"/>
              <w:ind w:left="720"/>
              <w:rPr>
                <w:rFonts w:cs="Calibri"/>
                <w:color w:val="000000"/>
                <w:sz w:val="18"/>
                <w:szCs w:val="18"/>
              </w:rPr>
            </w:pPr>
            <w:r w:rsidRPr="001B3DD7">
              <w:t>Budgeted costs are reasonable, allocable, and allowable.</w:t>
            </w:r>
          </w:p>
        </w:tc>
        <w:tc>
          <w:tcPr>
            <w:tcW w:w="2471" w:type="dxa"/>
            <w:vAlign w:val="center"/>
          </w:tcPr>
          <w:p w14:paraId="780931BD" w14:textId="063BBFA1" w:rsidR="001B3DD7" w:rsidRPr="00142783" w:rsidRDefault="001B3DD7" w:rsidP="00E648E3">
            <w:pPr>
              <w:autoSpaceDE w:val="0"/>
              <w:autoSpaceDN w:val="0"/>
              <w:adjustRightInd w:val="0"/>
              <w:rPr>
                <w:rFonts w:cs="Calibri"/>
                <w:color w:val="000000"/>
              </w:rPr>
            </w:pPr>
            <w:r>
              <w:t xml:space="preserve">20 points </w:t>
            </w:r>
          </w:p>
        </w:tc>
      </w:tr>
      <w:tr w:rsidR="00E648E3" w14:paraId="55DB9F28" w14:textId="77777777" w:rsidTr="00E648E3">
        <w:trPr>
          <w:trHeight w:val="426"/>
        </w:trPr>
        <w:tc>
          <w:tcPr>
            <w:tcW w:w="10890" w:type="dxa"/>
            <w:gridSpan w:val="2"/>
            <w:shd w:val="clear" w:color="auto" w:fill="D9D9D9" w:themeFill="background1" w:themeFillShade="D9"/>
            <w:vAlign w:val="center"/>
          </w:tcPr>
          <w:p w14:paraId="7CBF66E7" w14:textId="67725D6B" w:rsidR="00E648E3" w:rsidRPr="00D52039" w:rsidRDefault="001B3DD7" w:rsidP="00E648E3">
            <w:pPr>
              <w:autoSpaceDE w:val="0"/>
              <w:autoSpaceDN w:val="0"/>
              <w:adjustRightInd w:val="0"/>
              <w:rPr>
                <w:b/>
              </w:rPr>
            </w:pPr>
            <w:r>
              <w:rPr>
                <w:b/>
              </w:rPr>
              <w:t>Project Effectiveness</w:t>
            </w:r>
          </w:p>
        </w:tc>
      </w:tr>
      <w:tr w:rsidR="001B3DD7" w14:paraId="223362A7" w14:textId="77777777" w:rsidTr="0089119A">
        <w:trPr>
          <w:trHeight w:val="903"/>
        </w:trPr>
        <w:tc>
          <w:tcPr>
            <w:tcW w:w="8419" w:type="dxa"/>
            <w:vAlign w:val="center"/>
          </w:tcPr>
          <w:p w14:paraId="6575A974" w14:textId="7292A02F" w:rsidR="001B3DD7" w:rsidRPr="001B3DD7" w:rsidRDefault="001B3DD7" w:rsidP="001B3DD7">
            <w:pPr>
              <w:autoSpaceDE w:val="0"/>
              <w:autoSpaceDN w:val="0"/>
              <w:adjustRightInd w:val="0"/>
              <w:ind w:left="720"/>
            </w:pPr>
            <w:r w:rsidRPr="001B3DD7">
              <w:t xml:space="preserve">Coordinated Entry Participation- </w:t>
            </w:r>
            <w:r>
              <w:t>at least 95%</w:t>
            </w:r>
            <w:r w:rsidRPr="001B3DD7">
              <w:t xml:space="preserve"> of entries  projected to come from CE referrals</w:t>
            </w:r>
          </w:p>
        </w:tc>
        <w:tc>
          <w:tcPr>
            <w:tcW w:w="2471" w:type="dxa"/>
            <w:vAlign w:val="center"/>
          </w:tcPr>
          <w:p w14:paraId="157770E9" w14:textId="6F2A3E84" w:rsidR="001B3DD7" w:rsidRDefault="001B3DD7" w:rsidP="00E648E3">
            <w:pPr>
              <w:autoSpaceDE w:val="0"/>
              <w:autoSpaceDN w:val="0"/>
              <w:adjustRightInd w:val="0"/>
            </w:pPr>
            <w:r>
              <w:t xml:space="preserve">5 points </w:t>
            </w:r>
          </w:p>
        </w:tc>
      </w:tr>
      <w:tr w:rsidR="001B3DD7" w14:paraId="2109072E" w14:textId="77777777" w:rsidTr="001B3DD7">
        <w:trPr>
          <w:trHeight w:val="435"/>
        </w:trPr>
        <w:tc>
          <w:tcPr>
            <w:tcW w:w="8419" w:type="dxa"/>
            <w:shd w:val="clear" w:color="auto" w:fill="D9D9D9" w:themeFill="background1" w:themeFillShade="D9"/>
            <w:vAlign w:val="center"/>
          </w:tcPr>
          <w:p w14:paraId="25B88F66" w14:textId="77777777" w:rsidR="001B3DD7" w:rsidRDefault="001B3DD7" w:rsidP="00E648E3">
            <w:pPr>
              <w:autoSpaceDE w:val="0"/>
              <w:autoSpaceDN w:val="0"/>
              <w:adjustRightInd w:val="0"/>
            </w:pPr>
            <w:r>
              <w:rPr>
                <w:b/>
              </w:rPr>
              <w:t>Total Points Possible</w:t>
            </w:r>
          </w:p>
        </w:tc>
        <w:tc>
          <w:tcPr>
            <w:tcW w:w="2471" w:type="dxa"/>
            <w:shd w:val="clear" w:color="auto" w:fill="D9D9D9" w:themeFill="background1" w:themeFillShade="D9"/>
            <w:vAlign w:val="center"/>
          </w:tcPr>
          <w:p w14:paraId="0E4C5296" w14:textId="0BF187A0" w:rsidR="001B3DD7" w:rsidRDefault="001B3DD7" w:rsidP="00E648E3">
            <w:pPr>
              <w:autoSpaceDE w:val="0"/>
              <w:autoSpaceDN w:val="0"/>
              <w:adjustRightInd w:val="0"/>
            </w:pPr>
            <w:r>
              <w:t>135 points</w:t>
            </w:r>
          </w:p>
        </w:tc>
      </w:tr>
    </w:tbl>
    <w:p w14:paraId="591AE37D" w14:textId="77777777" w:rsidR="00E648E3" w:rsidRDefault="00E648E3" w:rsidP="00E648E3"/>
    <w:p w14:paraId="77962965" w14:textId="64018F26" w:rsidR="00E648E3" w:rsidRPr="001B3DD7" w:rsidRDefault="001B3DD7" w:rsidP="001B3DD7">
      <w:pPr>
        <w:tabs>
          <w:tab w:val="left" w:pos="4214"/>
        </w:tabs>
        <w:jc w:val="center"/>
        <w:rPr>
          <w:i/>
        </w:rPr>
      </w:pPr>
      <w:r>
        <w:rPr>
          <w:i/>
        </w:rPr>
        <w:t>All scores will be weighted to a 100-point scale for ranking.</w:t>
      </w:r>
    </w:p>
    <w:p w14:paraId="63B415C9" w14:textId="328F5249" w:rsidR="00E648E3" w:rsidRDefault="00E648E3"/>
    <w:p w14:paraId="3F549C14" w14:textId="77777777" w:rsidR="00E648E3" w:rsidRDefault="00E648E3"/>
    <w:p w14:paraId="442BF6F7" w14:textId="710DA5FD" w:rsidR="00A1017E" w:rsidRDefault="00A1017E" w:rsidP="009A30D5">
      <w:pPr>
        <w:rPr>
          <w:b/>
          <w:color w:val="CF7347"/>
          <w:kern w:val="16"/>
          <w:sz w:val="96"/>
          <w:szCs w:val="72"/>
        </w:rPr>
      </w:pPr>
    </w:p>
    <w:sectPr w:rsidR="00A1017E" w:rsidSect="006B6157">
      <w:headerReference w:type="default" r:id="rId26"/>
      <w:footerReference w:type="default" r:id="rId27"/>
      <w:headerReference w:type="first" r:id="rId28"/>
      <w:footerReference w:type="first" r:id="rId29"/>
      <w:pgSz w:w="12240" w:h="15840"/>
      <w:pgMar w:top="806" w:right="1080" w:bottom="900" w:left="1080" w:header="720" w:footer="14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CC547" w16cid:durableId="20CF08EC"/>
  <w16cid:commentId w16cid:paraId="629F108B" w16cid:durableId="20CF093A"/>
  <w16cid:commentId w16cid:paraId="28ABDF31" w16cid:durableId="20CF0920"/>
  <w16cid:commentId w16cid:paraId="42C7E1A1" w16cid:durableId="20CF0A3A"/>
  <w16cid:commentId w16cid:paraId="0F57F70F" w16cid:durableId="20CF0A4E"/>
  <w16cid:commentId w16cid:paraId="71AD999C" w16cid:durableId="20CF0AF7"/>
  <w16cid:commentId w16cid:paraId="2D7B9120" w16cid:durableId="20D43B80"/>
  <w16cid:commentId w16cid:paraId="3A759B21" w16cid:durableId="20CF0C02"/>
  <w16cid:commentId w16cid:paraId="60F815A6" w16cid:durableId="20CF0C14"/>
  <w16cid:commentId w16cid:paraId="138E4A44" w16cid:durableId="20D439BB"/>
  <w16cid:commentId w16cid:paraId="765D394E" w16cid:durableId="20D439BC"/>
  <w16cid:commentId w16cid:paraId="03955326" w16cid:durableId="20D43D54"/>
  <w16cid:commentId w16cid:paraId="41EDA512" w16cid:durableId="20D439BF"/>
  <w16cid:commentId w16cid:paraId="5F49EBFA" w16cid:durableId="20CF0C3A"/>
  <w16cid:commentId w16cid:paraId="2D026EAC" w16cid:durableId="20D439C1"/>
  <w16cid:commentId w16cid:paraId="0E9F21F6" w16cid:durableId="20D439C2"/>
  <w16cid:commentId w16cid:paraId="3929EC9C" w16cid:durableId="20D439C3"/>
  <w16cid:commentId w16cid:paraId="467F22A9" w16cid:durableId="20CF0C49"/>
  <w16cid:commentId w16cid:paraId="70583362" w16cid:durableId="20D439C5"/>
  <w16cid:commentId w16cid:paraId="50CCC27B" w16cid:durableId="20CF0C63"/>
  <w16cid:commentId w16cid:paraId="24A405A9" w16cid:durableId="20D439C7"/>
  <w16cid:commentId w16cid:paraId="3824A938" w16cid:durableId="20D439C8"/>
  <w16cid:commentId w16cid:paraId="6957545B" w16cid:durableId="20D439C9"/>
  <w16cid:commentId w16cid:paraId="57F4B3A2" w16cid:durableId="20D439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A4EB2" w14:textId="77777777" w:rsidR="00B052A1" w:rsidRDefault="00B052A1" w:rsidP="002161D2">
      <w:pPr>
        <w:spacing w:after="0" w:line="240" w:lineRule="auto"/>
      </w:pPr>
      <w:r>
        <w:separator/>
      </w:r>
    </w:p>
  </w:endnote>
  <w:endnote w:type="continuationSeparator" w:id="0">
    <w:p w14:paraId="4C2A1C09" w14:textId="77777777" w:rsidR="00B052A1" w:rsidRDefault="00B052A1" w:rsidP="0021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47635"/>
      <w:docPartObj>
        <w:docPartGallery w:val="Page Numbers (Bottom of Page)"/>
        <w:docPartUnique/>
      </w:docPartObj>
    </w:sdtPr>
    <w:sdtEndPr>
      <w:rPr>
        <w:noProof/>
      </w:rPr>
    </w:sdtEndPr>
    <w:sdtContent>
      <w:p w14:paraId="6B25722B" w14:textId="1822EEC4" w:rsidR="00B052A1" w:rsidRPr="00C24BEB" w:rsidRDefault="00B052A1" w:rsidP="003A4424">
        <w:pPr>
          <w:pStyle w:val="Footer"/>
          <w:ind w:right="-180"/>
          <w:jc w:val="right"/>
          <w:rPr>
            <w:noProof/>
          </w:rPr>
        </w:pPr>
        <w:r w:rsidRPr="00C24BEB">
          <w:rPr>
            <w:noProof/>
          </w:rPr>
          <w:drawing>
            <wp:anchor distT="0" distB="0" distL="114300" distR="114300" simplePos="0" relativeHeight="251657216" behindDoc="0" locked="0" layoutInCell="1" allowOverlap="1" wp14:anchorId="0E140DE9" wp14:editId="7EDE5E9B">
              <wp:simplePos x="0" y="0"/>
              <wp:positionH relativeFrom="column">
                <wp:posOffset>-266700</wp:posOffset>
              </wp:positionH>
              <wp:positionV relativeFrom="paragraph">
                <wp:posOffset>-133032</wp:posOffset>
              </wp:positionV>
              <wp:extent cx="1211654" cy="342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Home_Logo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654" cy="342900"/>
                      </a:xfrm>
                      <a:prstGeom prst="rect">
                        <a:avLst/>
                      </a:prstGeom>
                    </pic:spPr>
                  </pic:pic>
                </a:graphicData>
              </a:graphic>
              <wp14:sizeRelH relativeFrom="page">
                <wp14:pctWidth>0</wp14:pctWidth>
              </wp14:sizeRelH>
              <wp14:sizeRelV relativeFrom="page">
                <wp14:pctHeight>0</wp14:pctHeight>
              </wp14:sizeRelV>
            </wp:anchor>
          </w:drawing>
        </w:r>
        <w:r w:rsidRPr="00C24BEB">
          <w:rPr>
            <w:noProof/>
          </w:rPr>
          <w:fldChar w:fldCharType="begin"/>
        </w:r>
        <w:r w:rsidRPr="00C24BEB">
          <w:rPr>
            <w:noProof/>
          </w:rPr>
          <w:instrText xml:space="preserve"> PAGE   \* MERGEFORMAT </w:instrText>
        </w:r>
        <w:r w:rsidRPr="00C24BEB">
          <w:rPr>
            <w:noProof/>
          </w:rPr>
          <w:fldChar w:fldCharType="separate"/>
        </w:r>
        <w:r w:rsidR="00F1724C">
          <w:rPr>
            <w:noProof/>
          </w:rPr>
          <w:t>4</w:t>
        </w:r>
        <w:r w:rsidRPr="00C24BEB">
          <w:rPr>
            <w:noProof/>
          </w:rPr>
          <w:fldChar w:fldCharType="end"/>
        </w:r>
      </w:p>
    </w:sdtContent>
  </w:sdt>
  <w:p w14:paraId="032CE49B" w14:textId="77777777" w:rsidR="00B052A1" w:rsidRDefault="00B0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color w:val="878865"/>
        <w:sz w:val="24"/>
      </w:rPr>
      <w:id w:val="-1903669920"/>
      <w:docPartObj>
        <w:docPartGallery w:val="Page Numbers (Bottom of Page)"/>
        <w:docPartUnique/>
      </w:docPartObj>
    </w:sdtPr>
    <w:sdtContent>
      <w:p w14:paraId="0B0C57C0" w14:textId="59606BEB" w:rsidR="00B052A1" w:rsidRPr="00301C4A" w:rsidRDefault="00B052A1" w:rsidP="00023663">
        <w:pPr>
          <w:pStyle w:val="Footer"/>
          <w:ind w:left="-270" w:right="-180"/>
          <w:rPr>
            <w:b/>
            <w:color w:val="878865"/>
            <w:sz w:val="24"/>
          </w:rPr>
        </w:pP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p>
    </w:sdtContent>
  </w:sdt>
  <w:p w14:paraId="6D82213D" w14:textId="076CB4AB" w:rsidR="00B052A1" w:rsidRPr="00580387" w:rsidRDefault="00B052A1" w:rsidP="00580387">
    <w:pPr>
      <w:pStyle w:val="Footer"/>
      <w:tabs>
        <w:tab w:val="clear" w:pos="9360"/>
        <w:tab w:val="right" w:pos="1008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1D91" w14:textId="77777777" w:rsidR="00B052A1" w:rsidRDefault="00B052A1" w:rsidP="002161D2">
      <w:pPr>
        <w:spacing w:after="0" w:line="240" w:lineRule="auto"/>
      </w:pPr>
      <w:r>
        <w:separator/>
      </w:r>
    </w:p>
  </w:footnote>
  <w:footnote w:type="continuationSeparator" w:id="0">
    <w:p w14:paraId="052C0BC1" w14:textId="77777777" w:rsidR="00B052A1" w:rsidRDefault="00B052A1" w:rsidP="0021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9E14" w14:textId="23F852D1" w:rsidR="00F1724C" w:rsidRDefault="00F1724C">
    <w:pPr>
      <w:pStyle w:val="Header"/>
    </w:pPr>
    <w:r>
      <w:t>FY 2021 CoC Program Competition Baltimore City Local Guidance</w:t>
    </w:r>
  </w:p>
  <w:sdt>
    <w:sdtPr>
      <w:id w:val="-1045213216"/>
      <w:docPartObj>
        <w:docPartGallery w:val="Watermarks"/>
        <w:docPartUnique/>
      </w:docPartObj>
    </w:sdtPr>
    <w:sdtContent>
      <w:p w14:paraId="048DE5CB" w14:textId="07D065B2" w:rsidR="00B052A1" w:rsidRDefault="00B052A1">
        <w:pPr>
          <w:pStyle w:val="Header"/>
        </w:pPr>
        <w:r>
          <w:rPr>
            <w:noProof/>
          </w:rPr>
          <w:pict w14:anchorId="3C0B7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056C" w14:textId="50028F41" w:rsidR="00B052A1" w:rsidRDefault="00B052A1" w:rsidP="00B94E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6A2"/>
    <w:multiLevelType w:val="hybridMultilevel"/>
    <w:tmpl w:val="CA06CB60"/>
    <w:lvl w:ilvl="0" w:tplc="D2885D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D0EB340">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2480"/>
    <w:multiLevelType w:val="hybridMultilevel"/>
    <w:tmpl w:val="17520A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F0A1DD2"/>
    <w:multiLevelType w:val="hybridMultilevel"/>
    <w:tmpl w:val="9000C4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300DA6"/>
    <w:multiLevelType w:val="hybridMultilevel"/>
    <w:tmpl w:val="B72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30987"/>
    <w:multiLevelType w:val="hybridMultilevel"/>
    <w:tmpl w:val="4976B1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C14355D"/>
    <w:multiLevelType w:val="hybridMultilevel"/>
    <w:tmpl w:val="F9DE6D18"/>
    <w:lvl w:ilvl="0" w:tplc="0409000F">
      <w:start w:val="1"/>
      <w:numFmt w:val="decimal"/>
      <w:lvlText w:val="%1."/>
      <w:lvlJc w:val="left"/>
      <w:pPr>
        <w:ind w:left="720" w:hanging="360"/>
      </w:pPr>
      <w:rPr>
        <w:rFonts w:hint="default"/>
        <w:b w:val="0"/>
      </w:rPr>
    </w:lvl>
    <w:lvl w:ilvl="1" w:tplc="99BA00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6B76"/>
    <w:multiLevelType w:val="hybridMultilevel"/>
    <w:tmpl w:val="398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71221"/>
    <w:multiLevelType w:val="hybridMultilevel"/>
    <w:tmpl w:val="9000C4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37026A"/>
    <w:multiLevelType w:val="hybridMultilevel"/>
    <w:tmpl w:val="96F25A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2B60E3B"/>
    <w:multiLevelType w:val="hybridMultilevel"/>
    <w:tmpl w:val="25A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F1256"/>
    <w:multiLevelType w:val="hybridMultilevel"/>
    <w:tmpl w:val="4F2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0441B"/>
    <w:multiLevelType w:val="hybridMultilevel"/>
    <w:tmpl w:val="F224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E7D1D"/>
    <w:multiLevelType w:val="hybridMultilevel"/>
    <w:tmpl w:val="49B0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4228D"/>
    <w:multiLevelType w:val="multilevel"/>
    <w:tmpl w:val="61EAAF0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bullet"/>
      <w:lvlText w:val=""/>
      <w:lvlJc w:val="left"/>
      <w:pPr>
        <w:ind w:left="99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580E654B"/>
    <w:multiLevelType w:val="hybridMultilevel"/>
    <w:tmpl w:val="6A78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51917"/>
    <w:multiLevelType w:val="hybridMultilevel"/>
    <w:tmpl w:val="0CA69AEE"/>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6" w15:restartNumberingAfterBreak="0">
    <w:nsid w:val="5BA17281"/>
    <w:multiLevelType w:val="hybridMultilevel"/>
    <w:tmpl w:val="2014FD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808E7"/>
    <w:multiLevelType w:val="hybridMultilevel"/>
    <w:tmpl w:val="1CC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D6A6D"/>
    <w:multiLevelType w:val="hybridMultilevel"/>
    <w:tmpl w:val="29E465F6"/>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9" w15:restartNumberingAfterBreak="0">
    <w:nsid w:val="6D9C5975"/>
    <w:multiLevelType w:val="hybridMultilevel"/>
    <w:tmpl w:val="4EDCC9E6"/>
    <w:lvl w:ilvl="0" w:tplc="42B80B68">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19B0DA72">
      <w:start w:val="1"/>
      <w:numFmt w:val="decimal"/>
      <w:lvlText w:val="%2."/>
      <w:lvlJc w:val="left"/>
      <w:pPr>
        <w:ind w:left="1181" w:hanging="360"/>
        <w:jc w:val="right"/>
      </w:pPr>
      <w:rPr>
        <w:rFonts w:asciiTheme="minorHAnsi" w:eastAsia="Times New Roman" w:hAnsiTheme="minorHAnsi" w:cs="Times New Roman" w:hint="default"/>
        <w:b/>
        <w:bCs/>
        <w:spacing w:val="-10"/>
        <w:w w:val="99"/>
        <w:sz w:val="22"/>
        <w:szCs w:val="22"/>
      </w:rPr>
    </w:lvl>
    <w:lvl w:ilvl="2" w:tplc="C2000C7A">
      <w:start w:val="1"/>
      <w:numFmt w:val="lowerLetter"/>
      <w:lvlText w:val="%3."/>
      <w:lvlJc w:val="left"/>
      <w:pPr>
        <w:ind w:left="1901" w:hanging="361"/>
        <w:jc w:val="right"/>
      </w:pPr>
      <w:rPr>
        <w:rFonts w:asciiTheme="minorHAnsi" w:eastAsia="Times New Roman" w:hAnsiTheme="minorHAnsi" w:cs="Times New Roman" w:hint="default"/>
        <w:b/>
        <w:bCs/>
        <w:spacing w:val="-10"/>
        <w:w w:val="99"/>
        <w:sz w:val="22"/>
        <w:szCs w:val="22"/>
      </w:rPr>
    </w:lvl>
    <w:lvl w:ilvl="3" w:tplc="FBFA4270">
      <w:start w:val="1"/>
      <w:numFmt w:val="lowerRoman"/>
      <w:lvlText w:val="%4."/>
      <w:lvlJc w:val="right"/>
      <w:pPr>
        <w:ind w:left="2707" w:hanging="447"/>
      </w:pPr>
      <w:rPr>
        <w:rFonts w:hint="default"/>
        <w:b/>
        <w:bCs/>
        <w:spacing w:val="-15"/>
        <w:w w:val="99"/>
        <w:sz w:val="22"/>
        <w:szCs w:val="22"/>
      </w:rPr>
    </w:lvl>
    <w:lvl w:ilvl="4" w:tplc="00EE1890">
      <w:numFmt w:val="bullet"/>
      <w:lvlText w:val="•"/>
      <w:lvlJc w:val="left"/>
      <w:pPr>
        <w:ind w:left="1900" w:hanging="447"/>
      </w:pPr>
      <w:rPr>
        <w:rFonts w:hint="default"/>
      </w:rPr>
    </w:lvl>
    <w:lvl w:ilvl="5" w:tplc="ACF25D52">
      <w:numFmt w:val="bullet"/>
      <w:lvlText w:val="•"/>
      <w:lvlJc w:val="left"/>
      <w:pPr>
        <w:ind w:left="2700" w:hanging="447"/>
      </w:pPr>
      <w:rPr>
        <w:rFonts w:hint="default"/>
      </w:rPr>
    </w:lvl>
    <w:lvl w:ilvl="6" w:tplc="839A38C8">
      <w:numFmt w:val="bullet"/>
      <w:lvlText w:val="•"/>
      <w:lvlJc w:val="left"/>
      <w:pPr>
        <w:ind w:left="4000" w:hanging="447"/>
      </w:pPr>
      <w:rPr>
        <w:rFonts w:hint="default"/>
      </w:rPr>
    </w:lvl>
    <w:lvl w:ilvl="7" w:tplc="C2EEA3F6">
      <w:numFmt w:val="bullet"/>
      <w:lvlText w:val="•"/>
      <w:lvlJc w:val="left"/>
      <w:pPr>
        <w:ind w:left="5300" w:hanging="447"/>
      </w:pPr>
      <w:rPr>
        <w:rFonts w:hint="default"/>
      </w:rPr>
    </w:lvl>
    <w:lvl w:ilvl="8" w:tplc="9E8619F4">
      <w:numFmt w:val="bullet"/>
      <w:lvlText w:val="•"/>
      <w:lvlJc w:val="left"/>
      <w:pPr>
        <w:ind w:left="6600" w:hanging="447"/>
      </w:pPr>
      <w:rPr>
        <w:rFonts w:hint="default"/>
      </w:rPr>
    </w:lvl>
  </w:abstractNum>
  <w:abstractNum w:abstractNumId="20" w15:restartNumberingAfterBreak="0">
    <w:nsid w:val="6E4346D8"/>
    <w:multiLevelType w:val="hybridMultilevel"/>
    <w:tmpl w:val="40F8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C01DD"/>
    <w:multiLevelType w:val="hybridMultilevel"/>
    <w:tmpl w:val="658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C75BA"/>
    <w:multiLevelType w:val="hybridMultilevel"/>
    <w:tmpl w:val="08841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F24FA"/>
    <w:multiLevelType w:val="hybridMultilevel"/>
    <w:tmpl w:val="91B2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2"/>
  </w:num>
  <w:num w:numId="5">
    <w:abstractNumId w:val="10"/>
  </w:num>
  <w:num w:numId="6">
    <w:abstractNumId w:val="23"/>
  </w:num>
  <w:num w:numId="7">
    <w:abstractNumId w:val="17"/>
  </w:num>
  <w:num w:numId="8">
    <w:abstractNumId w:val="14"/>
  </w:num>
  <w:num w:numId="9">
    <w:abstractNumId w:val="16"/>
  </w:num>
  <w:num w:numId="10">
    <w:abstractNumId w:val="20"/>
  </w:num>
  <w:num w:numId="11">
    <w:abstractNumId w:val="13"/>
  </w:num>
  <w:num w:numId="12">
    <w:abstractNumId w:val="21"/>
  </w:num>
  <w:num w:numId="13">
    <w:abstractNumId w:val="3"/>
  </w:num>
  <w:num w:numId="14">
    <w:abstractNumId w:val="0"/>
  </w:num>
  <w:num w:numId="15">
    <w:abstractNumId w:val="8"/>
  </w:num>
  <w:num w:numId="16">
    <w:abstractNumId w:val="7"/>
  </w:num>
  <w:num w:numId="17">
    <w:abstractNumId w:val="5"/>
  </w:num>
  <w:num w:numId="18">
    <w:abstractNumId w:val="22"/>
  </w:num>
  <w:num w:numId="19">
    <w:abstractNumId w:val="4"/>
  </w:num>
  <w:num w:numId="20">
    <w:abstractNumId w:val="18"/>
  </w:num>
  <w:num w:numId="21">
    <w:abstractNumId w:val="15"/>
  </w:num>
  <w:num w:numId="22">
    <w:abstractNumId w:val="1"/>
  </w:num>
  <w:num w:numId="23">
    <w:abstractNumId w:val="12"/>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08"/>
    <w:rsid w:val="0000136C"/>
    <w:rsid w:val="000025E8"/>
    <w:rsid w:val="00022A6F"/>
    <w:rsid w:val="00022CB8"/>
    <w:rsid w:val="000234F9"/>
    <w:rsid w:val="00023663"/>
    <w:rsid w:val="00025ABB"/>
    <w:rsid w:val="0003118A"/>
    <w:rsid w:val="00034928"/>
    <w:rsid w:val="00035337"/>
    <w:rsid w:val="000402A3"/>
    <w:rsid w:val="00040F23"/>
    <w:rsid w:val="00041E77"/>
    <w:rsid w:val="00044690"/>
    <w:rsid w:val="000449E9"/>
    <w:rsid w:val="000462ED"/>
    <w:rsid w:val="00047825"/>
    <w:rsid w:val="000529D5"/>
    <w:rsid w:val="0005403F"/>
    <w:rsid w:val="000607CC"/>
    <w:rsid w:val="00066F13"/>
    <w:rsid w:val="000676A6"/>
    <w:rsid w:val="0007048D"/>
    <w:rsid w:val="000828F4"/>
    <w:rsid w:val="000836F6"/>
    <w:rsid w:val="000843AD"/>
    <w:rsid w:val="00091095"/>
    <w:rsid w:val="00097AC8"/>
    <w:rsid w:val="00097CBA"/>
    <w:rsid w:val="000A035B"/>
    <w:rsid w:val="000A3CC7"/>
    <w:rsid w:val="000A5B35"/>
    <w:rsid w:val="000A5E48"/>
    <w:rsid w:val="000B0E50"/>
    <w:rsid w:val="000B425C"/>
    <w:rsid w:val="000C1C60"/>
    <w:rsid w:val="000C48DE"/>
    <w:rsid w:val="000C7F3B"/>
    <w:rsid w:val="000D73C0"/>
    <w:rsid w:val="000E4A5B"/>
    <w:rsid w:val="000E4E15"/>
    <w:rsid w:val="000F622D"/>
    <w:rsid w:val="0010007C"/>
    <w:rsid w:val="00100922"/>
    <w:rsid w:val="0010497F"/>
    <w:rsid w:val="00107971"/>
    <w:rsid w:val="00107CA3"/>
    <w:rsid w:val="00116ABB"/>
    <w:rsid w:val="00123E6D"/>
    <w:rsid w:val="00127455"/>
    <w:rsid w:val="0013391C"/>
    <w:rsid w:val="00137D1F"/>
    <w:rsid w:val="00143E6F"/>
    <w:rsid w:val="00143FED"/>
    <w:rsid w:val="00147D00"/>
    <w:rsid w:val="001569F4"/>
    <w:rsid w:val="00166DD5"/>
    <w:rsid w:val="0017106F"/>
    <w:rsid w:val="00173641"/>
    <w:rsid w:val="00183EEA"/>
    <w:rsid w:val="00190F5C"/>
    <w:rsid w:val="00191402"/>
    <w:rsid w:val="001927AB"/>
    <w:rsid w:val="00197DDD"/>
    <w:rsid w:val="001A07D8"/>
    <w:rsid w:val="001A2D87"/>
    <w:rsid w:val="001B3CA2"/>
    <w:rsid w:val="001B3DD7"/>
    <w:rsid w:val="001B7894"/>
    <w:rsid w:val="001C0447"/>
    <w:rsid w:val="001C4B1A"/>
    <w:rsid w:val="001C7CDF"/>
    <w:rsid w:val="001D1382"/>
    <w:rsid w:val="001E0F88"/>
    <w:rsid w:val="001F7B0B"/>
    <w:rsid w:val="0020141B"/>
    <w:rsid w:val="00210C34"/>
    <w:rsid w:val="00210CB8"/>
    <w:rsid w:val="0021124F"/>
    <w:rsid w:val="002120A0"/>
    <w:rsid w:val="002125D4"/>
    <w:rsid w:val="0021541D"/>
    <w:rsid w:val="002161D2"/>
    <w:rsid w:val="00216553"/>
    <w:rsid w:val="002304BB"/>
    <w:rsid w:val="00230805"/>
    <w:rsid w:val="00230BEE"/>
    <w:rsid w:val="0023103D"/>
    <w:rsid w:val="002314F1"/>
    <w:rsid w:val="00231557"/>
    <w:rsid w:val="002359AE"/>
    <w:rsid w:val="002416C5"/>
    <w:rsid w:val="00243D0B"/>
    <w:rsid w:val="00255F5F"/>
    <w:rsid w:val="00257A76"/>
    <w:rsid w:val="00257ECD"/>
    <w:rsid w:val="0026055F"/>
    <w:rsid w:val="00260F6D"/>
    <w:rsid w:val="00262946"/>
    <w:rsid w:val="002630A4"/>
    <w:rsid w:val="00263CF4"/>
    <w:rsid w:val="00267341"/>
    <w:rsid w:val="00272DDF"/>
    <w:rsid w:val="00274005"/>
    <w:rsid w:val="002754E5"/>
    <w:rsid w:val="002768A8"/>
    <w:rsid w:val="00283705"/>
    <w:rsid w:val="0028566E"/>
    <w:rsid w:val="0028760A"/>
    <w:rsid w:val="00287F67"/>
    <w:rsid w:val="00296762"/>
    <w:rsid w:val="002A1218"/>
    <w:rsid w:val="002A3368"/>
    <w:rsid w:val="002A38EB"/>
    <w:rsid w:val="002A62DE"/>
    <w:rsid w:val="002B0E2A"/>
    <w:rsid w:val="002B1389"/>
    <w:rsid w:val="002B2A28"/>
    <w:rsid w:val="002B30E8"/>
    <w:rsid w:val="002B345C"/>
    <w:rsid w:val="002B3ED5"/>
    <w:rsid w:val="002B43D6"/>
    <w:rsid w:val="002B539D"/>
    <w:rsid w:val="002B5D3E"/>
    <w:rsid w:val="002C2ACC"/>
    <w:rsid w:val="002C323C"/>
    <w:rsid w:val="002C5A72"/>
    <w:rsid w:val="002C6F77"/>
    <w:rsid w:val="002C7BB7"/>
    <w:rsid w:val="002D0DEB"/>
    <w:rsid w:val="002D10E6"/>
    <w:rsid w:val="002D3C7F"/>
    <w:rsid w:val="002E04F5"/>
    <w:rsid w:val="002E58AB"/>
    <w:rsid w:val="002F0545"/>
    <w:rsid w:val="002F19BB"/>
    <w:rsid w:val="002F4585"/>
    <w:rsid w:val="00301C4A"/>
    <w:rsid w:val="00305D97"/>
    <w:rsid w:val="003069A4"/>
    <w:rsid w:val="00311E67"/>
    <w:rsid w:val="0031362B"/>
    <w:rsid w:val="00317F8F"/>
    <w:rsid w:val="003250B2"/>
    <w:rsid w:val="003261FD"/>
    <w:rsid w:val="00333DB1"/>
    <w:rsid w:val="003458B9"/>
    <w:rsid w:val="00345B76"/>
    <w:rsid w:val="00355FA1"/>
    <w:rsid w:val="00356E7C"/>
    <w:rsid w:val="0036031D"/>
    <w:rsid w:val="003624F3"/>
    <w:rsid w:val="00365B34"/>
    <w:rsid w:val="003725EA"/>
    <w:rsid w:val="0037508D"/>
    <w:rsid w:val="00380617"/>
    <w:rsid w:val="00381B65"/>
    <w:rsid w:val="00382409"/>
    <w:rsid w:val="003830F3"/>
    <w:rsid w:val="00386091"/>
    <w:rsid w:val="003902CE"/>
    <w:rsid w:val="003A2F63"/>
    <w:rsid w:val="003A4424"/>
    <w:rsid w:val="003A4D94"/>
    <w:rsid w:val="003B36C6"/>
    <w:rsid w:val="003B46D1"/>
    <w:rsid w:val="003B69CE"/>
    <w:rsid w:val="003B7B8D"/>
    <w:rsid w:val="003B7E0F"/>
    <w:rsid w:val="003C41C2"/>
    <w:rsid w:val="003C5025"/>
    <w:rsid w:val="003D0E1D"/>
    <w:rsid w:val="003D19D3"/>
    <w:rsid w:val="003D343D"/>
    <w:rsid w:val="003D5544"/>
    <w:rsid w:val="003D6A8F"/>
    <w:rsid w:val="003E2C1E"/>
    <w:rsid w:val="003E56A1"/>
    <w:rsid w:val="003F1130"/>
    <w:rsid w:val="003F5E83"/>
    <w:rsid w:val="003F6954"/>
    <w:rsid w:val="003F7FDA"/>
    <w:rsid w:val="00402933"/>
    <w:rsid w:val="00402D67"/>
    <w:rsid w:val="00404523"/>
    <w:rsid w:val="0041276E"/>
    <w:rsid w:val="00421EFF"/>
    <w:rsid w:val="00422EA7"/>
    <w:rsid w:val="004302B3"/>
    <w:rsid w:val="00434DDA"/>
    <w:rsid w:val="0044369C"/>
    <w:rsid w:val="00445071"/>
    <w:rsid w:val="00463808"/>
    <w:rsid w:val="00465DE7"/>
    <w:rsid w:val="004748F7"/>
    <w:rsid w:val="00480CA5"/>
    <w:rsid w:val="00481E0C"/>
    <w:rsid w:val="00481EA5"/>
    <w:rsid w:val="00483CC6"/>
    <w:rsid w:val="0048411D"/>
    <w:rsid w:val="00492A74"/>
    <w:rsid w:val="004A3841"/>
    <w:rsid w:val="004A754D"/>
    <w:rsid w:val="004A7578"/>
    <w:rsid w:val="004B0743"/>
    <w:rsid w:val="004B4230"/>
    <w:rsid w:val="004C08D4"/>
    <w:rsid w:val="004D3385"/>
    <w:rsid w:val="004E7A9E"/>
    <w:rsid w:val="004F3BDA"/>
    <w:rsid w:val="004F551D"/>
    <w:rsid w:val="004F71FE"/>
    <w:rsid w:val="00512139"/>
    <w:rsid w:val="00515FC5"/>
    <w:rsid w:val="00517910"/>
    <w:rsid w:val="005275EB"/>
    <w:rsid w:val="00531401"/>
    <w:rsid w:val="00532F7A"/>
    <w:rsid w:val="00536A3F"/>
    <w:rsid w:val="00540AFC"/>
    <w:rsid w:val="0054368A"/>
    <w:rsid w:val="005460FF"/>
    <w:rsid w:val="00550C19"/>
    <w:rsid w:val="00551A3D"/>
    <w:rsid w:val="005609EC"/>
    <w:rsid w:val="00562AB2"/>
    <w:rsid w:val="00572AE2"/>
    <w:rsid w:val="0057395C"/>
    <w:rsid w:val="00574CF5"/>
    <w:rsid w:val="00575026"/>
    <w:rsid w:val="00580387"/>
    <w:rsid w:val="005A100B"/>
    <w:rsid w:val="005A1337"/>
    <w:rsid w:val="005B01E8"/>
    <w:rsid w:val="005B115B"/>
    <w:rsid w:val="005B2986"/>
    <w:rsid w:val="005B5344"/>
    <w:rsid w:val="005B794A"/>
    <w:rsid w:val="005C124C"/>
    <w:rsid w:val="005D075A"/>
    <w:rsid w:val="005D45B8"/>
    <w:rsid w:val="005D5295"/>
    <w:rsid w:val="005D7EF6"/>
    <w:rsid w:val="005E2C33"/>
    <w:rsid w:val="005E30A7"/>
    <w:rsid w:val="00610074"/>
    <w:rsid w:val="0061402B"/>
    <w:rsid w:val="00620A5F"/>
    <w:rsid w:val="00626A63"/>
    <w:rsid w:val="00631A31"/>
    <w:rsid w:val="00634051"/>
    <w:rsid w:val="00634C7D"/>
    <w:rsid w:val="006362B2"/>
    <w:rsid w:val="00637B2D"/>
    <w:rsid w:val="00642382"/>
    <w:rsid w:val="00645414"/>
    <w:rsid w:val="00647291"/>
    <w:rsid w:val="00647D00"/>
    <w:rsid w:val="006522B2"/>
    <w:rsid w:val="00653AC5"/>
    <w:rsid w:val="006569A9"/>
    <w:rsid w:val="00657A0E"/>
    <w:rsid w:val="00660014"/>
    <w:rsid w:val="006649ED"/>
    <w:rsid w:val="006732AA"/>
    <w:rsid w:val="006749DB"/>
    <w:rsid w:val="0067702E"/>
    <w:rsid w:val="00680398"/>
    <w:rsid w:val="0068122E"/>
    <w:rsid w:val="00682322"/>
    <w:rsid w:val="00683078"/>
    <w:rsid w:val="00684740"/>
    <w:rsid w:val="00685C64"/>
    <w:rsid w:val="006862CD"/>
    <w:rsid w:val="00686579"/>
    <w:rsid w:val="00690A4E"/>
    <w:rsid w:val="00692673"/>
    <w:rsid w:val="006940EE"/>
    <w:rsid w:val="00695964"/>
    <w:rsid w:val="00696565"/>
    <w:rsid w:val="006A2BF8"/>
    <w:rsid w:val="006A2CFA"/>
    <w:rsid w:val="006B6157"/>
    <w:rsid w:val="006C3602"/>
    <w:rsid w:val="006C3E39"/>
    <w:rsid w:val="006C571F"/>
    <w:rsid w:val="006C5734"/>
    <w:rsid w:val="006C5EF2"/>
    <w:rsid w:val="006C7A92"/>
    <w:rsid w:val="006D36B8"/>
    <w:rsid w:val="006D5A8E"/>
    <w:rsid w:val="006D7853"/>
    <w:rsid w:val="006E08D3"/>
    <w:rsid w:val="006E17BF"/>
    <w:rsid w:val="006E44D4"/>
    <w:rsid w:val="006E4536"/>
    <w:rsid w:val="006E623F"/>
    <w:rsid w:val="006E62EA"/>
    <w:rsid w:val="006F2191"/>
    <w:rsid w:val="007055CE"/>
    <w:rsid w:val="00705F08"/>
    <w:rsid w:val="0070637F"/>
    <w:rsid w:val="007067E6"/>
    <w:rsid w:val="007162F0"/>
    <w:rsid w:val="007215EB"/>
    <w:rsid w:val="007303E4"/>
    <w:rsid w:val="007304CC"/>
    <w:rsid w:val="0073093E"/>
    <w:rsid w:val="00731340"/>
    <w:rsid w:val="00733CAA"/>
    <w:rsid w:val="00742EA7"/>
    <w:rsid w:val="007522C1"/>
    <w:rsid w:val="007554A0"/>
    <w:rsid w:val="007577FB"/>
    <w:rsid w:val="00757881"/>
    <w:rsid w:val="00760B0A"/>
    <w:rsid w:val="00761F05"/>
    <w:rsid w:val="007642EB"/>
    <w:rsid w:val="00765463"/>
    <w:rsid w:val="00767622"/>
    <w:rsid w:val="007700FD"/>
    <w:rsid w:val="00774155"/>
    <w:rsid w:val="00782F3E"/>
    <w:rsid w:val="00783395"/>
    <w:rsid w:val="00783601"/>
    <w:rsid w:val="00784F05"/>
    <w:rsid w:val="00790A93"/>
    <w:rsid w:val="00795130"/>
    <w:rsid w:val="00797189"/>
    <w:rsid w:val="007978D2"/>
    <w:rsid w:val="007A43B7"/>
    <w:rsid w:val="007A4875"/>
    <w:rsid w:val="007A6811"/>
    <w:rsid w:val="007A6D14"/>
    <w:rsid w:val="007B2166"/>
    <w:rsid w:val="007B265C"/>
    <w:rsid w:val="007B27D3"/>
    <w:rsid w:val="007B3B11"/>
    <w:rsid w:val="007C04D3"/>
    <w:rsid w:val="007C1E3B"/>
    <w:rsid w:val="007C4106"/>
    <w:rsid w:val="007D5AA8"/>
    <w:rsid w:val="007D71F6"/>
    <w:rsid w:val="007E07B4"/>
    <w:rsid w:val="007E1D4E"/>
    <w:rsid w:val="007E4879"/>
    <w:rsid w:val="007F170B"/>
    <w:rsid w:val="00804643"/>
    <w:rsid w:val="008079B9"/>
    <w:rsid w:val="00811376"/>
    <w:rsid w:val="00812DB9"/>
    <w:rsid w:val="00813BF8"/>
    <w:rsid w:val="008216FC"/>
    <w:rsid w:val="00822DB1"/>
    <w:rsid w:val="00823438"/>
    <w:rsid w:val="00827661"/>
    <w:rsid w:val="00831514"/>
    <w:rsid w:val="00832B68"/>
    <w:rsid w:val="00833284"/>
    <w:rsid w:val="00834262"/>
    <w:rsid w:val="00842D38"/>
    <w:rsid w:val="00843953"/>
    <w:rsid w:val="008556E0"/>
    <w:rsid w:val="008670F2"/>
    <w:rsid w:val="00867E07"/>
    <w:rsid w:val="00871026"/>
    <w:rsid w:val="00872DD0"/>
    <w:rsid w:val="00872DD9"/>
    <w:rsid w:val="00875841"/>
    <w:rsid w:val="00877A96"/>
    <w:rsid w:val="008818EF"/>
    <w:rsid w:val="00882AA5"/>
    <w:rsid w:val="0089119A"/>
    <w:rsid w:val="00891645"/>
    <w:rsid w:val="00891952"/>
    <w:rsid w:val="008961FB"/>
    <w:rsid w:val="008A2529"/>
    <w:rsid w:val="008A70D4"/>
    <w:rsid w:val="008A7205"/>
    <w:rsid w:val="008A7DCC"/>
    <w:rsid w:val="008B12D1"/>
    <w:rsid w:val="008B1A97"/>
    <w:rsid w:val="008C4FC2"/>
    <w:rsid w:val="008D2B4B"/>
    <w:rsid w:val="008D36DF"/>
    <w:rsid w:val="008D69AB"/>
    <w:rsid w:val="008E250B"/>
    <w:rsid w:val="008E3F28"/>
    <w:rsid w:val="008F01A3"/>
    <w:rsid w:val="008F4A0C"/>
    <w:rsid w:val="008F6C1B"/>
    <w:rsid w:val="008F6FC9"/>
    <w:rsid w:val="008F725B"/>
    <w:rsid w:val="008F7E6D"/>
    <w:rsid w:val="0090109C"/>
    <w:rsid w:val="00904737"/>
    <w:rsid w:val="00907C60"/>
    <w:rsid w:val="009201A1"/>
    <w:rsid w:val="00923DC6"/>
    <w:rsid w:val="00935145"/>
    <w:rsid w:val="00944000"/>
    <w:rsid w:val="009453DF"/>
    <w:rsid w:val="00950F74"/>
    <w:rsid w:val="00952F61"/>
    <w:rsid w:val="0095338C"/>
    <w:rsid w:val="00954E37"/>
    <w:rsid w:val="00956BE3"/>
    <w:rsid w:val="00957248"/>
    <w:rsid w:val="0097627D"/>
    <w:rsid w:val="00982ABE"/>
    <w:rsid w:val="00984678"/>
    <w:rsid w:val="00984D37"/>
    <w:rsid w:val="00985239"/>
    <w:rsid w:val="00986858"/>
    <w:rsid w:val="00990E4B"/>
    <w:rsid w:val="00992C24"/>
    <w:rsid w:val="0099716D"/>
    <w:rsid w:val="009A0B5B"/>
    <w:rsid w:val="009A1C17"/>
    <w:rsid w:val="009A30D5"/>
    <w:rsid w:val="009B1E18"/>
    <w:rsid w:val="009B314C"/>
    <w:rsid w:val="009B3C42"/>
    <w:rsid w:val="009B40C5"/>
    <w:rsid w:val="009B6E9A"/>
    <w:rsid w:val="009B7E9C"/>
    <w:rsid w:val="009C0AEC"/>
    <w:rsid w:val="009C1159"/>
    <w:rsid w:val="009C24EA"/>
    <w:rsid w:val="009C66F5"/>
    <w:rsid w:val="009E48F1"/>
    <w:rsid w:val="009F21B8"/>
    <w:rsid w:val="009F4250"/>
    <w:rsid w:val="009F4D37"/>
    <w:rsid w:val="009F732D"/>
    <w:rsid w:val="00A0354C"/>
    <w:rsid w:val="00A1017E"/>
    <w:rsid w:val="00A11884"/>
    <w:rsid w:val="00A1251A"/>
    <w:rsid w:val="00A151F1"/>
    <w:rsid w:val="00A228EC"/>
    <w:rsid w:val="00A34F44"/>
    <w:rsid w:val="00A36997"/>
    <w:rsid w:val="00A4185B"/>
    <w:rsid w:val="00A53102"/>
    <w:rsid w:val="00A5461A"/>
    <w:rsid w:val="00A66262"/>
    <w:rsid w:val="00A72250"/>
    <w:rsid w:val="00A73D3F"/>
    <w:rsid w:val="00A82455"/>
    <w:rsid w:val="00A85A92"/>
    <w:rsid w:val="00A87A42"/>
    <w:rsid w:val="00A937C4"/>
    <w:rsid w:val="00A97137"/>
    <w:rsid w:val="00A97617"/>
    <w:rsid w:val="00A97C5B"/>
    <w:rsid w:val="00AA31E5"/>
    <w:rsid w:val="00AA3445"/>
    <w:rsid w:val="00AA76BA"/>
    <w:rsid w:val="00AB040B"/>
    <w:rsid w:val="00AB1E4F"/>
    <w:rsid w:val="00AB2DF1"/>
    <w:rsid w:val="00AB356A"/>
    <w:rsid w:val="00AB4575"/>
    <w:rsid w:val="00AC1B42"/>
    <w:rsid w:val="00AC1E15"/>
    <w:rsid w:val="00AC39BB"/>
    <w:rsid w:val="00AC4718"/>
    <w:rsid w:val="00AC4917"/>
    <w:rsid w:val="00AC6656"/>
    <w:rsid w:val="00AC6C3A"/>
    <w:rsid w:val="00AD1199"/>
    <w:rsid w:val="00AD3FC9"/>
    <w:rsid w:val="00AD4EA6"/>
    <w:rsid w:val="00AE00CB"/>
    <w:rsid w:val="00AE2357"/>
    <w:rsid w:val="00AE265C"/>
    <w:rsid w:val="00AE77F1"/>
    <w:rsid w:val="00AF1744"/>
    <w:rsid w:val="00AF178B"/>
    <w:rsid w:val="00AF50CC"/>
    <w:rsid w:val="00AF7D57"/>
    <w:rsid w:val="00B03446"/>
    <w:rsid w:val="00B04848"/>
    <w:rsid w:val="00B052A1"/>
    <w:rsid w:val="00B12C21"/>
    <w:rsid w:val="00B20E2B"/>
    <w:rsid w:val="00B22132"/>
    <w:rsid w:val="00B24A12"/>
    <w:rsid w:val="00B276A0"/>
    <w:rsid w:val="00B327DC"/>
    <w:rsid w:val="00B36E16"/>
    <w:rsid w:val="00B41DBD"/>
    <w:rsid w:val="00B501D1"/>
    <w:rsid w:val="00B50F6A"/>
    <w:rsid w:val="00B53C5C"/>
    <w:rsid w:val="00B5496B"/>
    <w:rsid w:val="00B625AC"/>
    <w:rsid w:val="00B6717E"/>
    <w:rsid w:val="00B71759"/>
    <w:rsid w:val="00B72153"/>
    <w:rsid w:val="00B74863"/>
    <w:rsid w:val="00B755B5"/>
    <w:rsid w:val="00B75FEE"/>
    <w:rsid w:val="00B7696B"/>
    <w:rsid w:val="00B77FEF"/>
    <w:rsid w:val="00B85541"/>
    <w:rsid w:val="00B85E8E"/>
    <w:rsid w:val="00B9111C"/>
    <w:rsid w:val="00B91336"/>
    <w:rsid w:val="00B94EB5"/>
    <w:rsid w:val="00B950C2"/>
    <w:rsid w:val="00BC4551"/>
    <w:rsid w:val="00BC6590"/>
    <w:rsid w:val="00BC764F"/>
    <w:rsid w:val="00BD4358"/>
    <w:rsid w:val="00BD7FF0"/>
    <w:rsid w:val="00BE2EB8"/>
    <w:rsid w:val="00BE67EF"/>
    <w:rsid w:val="00C061F4"/>
    <w:rsid w:val="00C0634F"/>
    <w:rsid w:val="00C15816"/>
    <w:rsid w:val="00C204FA"/>
    <w:rsid w:val="00C20A79"/>
    <w:rsid w:val="00C20CF4"/>
    <w:rsid w:val="00C243E4"/>
    <w:rsid w:val="00C24521"/>
    <w:rsid w:val="00C24BEB"/>
    <w:rsid w:val="00C2728D"/>
    <w:rsid w:val="00C302F7"/>
    <w:rsid w:val="00C307EB"/>
    <w:rsid w:val="00C34691"/>
    <w:rsid w:val="00C3582F"/>
    <w:rsid w:val="00C368B1"/>
    <w:rsid w:val="00C4147A"/>
    <w:rsid w:val="00C42CFD"/>
    <w:rsid w:val="00C457C4"/>
    <w:rsid w:val="00C46813"/>
    <w:rsid w:val="00C46AA0"/>
    <w:rsid w:val="00C51C17"/>
    <w:rsid w:val="00C55E32"/>
    <w:rsid w:val="00C56A0B"/>
    <w:rsid w:val="00C61B6B"/>
    <w:rsid w:val="00C63CE1"/>
    <w:rsid w:val="00C65B1F"/>
    <w:rsid w:val="00C819B1"/>
    <w:rsid w:val="00C93696"/>
    <w:rsid w:val="00C95B2C"/>
    <w:rsid w:val="00C95E01"/>
    <w:rsid w:val="00CA5EF4"/>
    <w:rsid w:val="00CB4BCA"/>
    <w:rsid w:val="00CB5706"/>
    <w:rsid w:val="00CB5DB9"/>
    <w:rsid w:val="00CB6E8D"/>
    <w:rsid w:val="00CB7EFB"/>
    <w:rsid w:val="00CB7F35"/>
    <w:rsid w:val="00CC21EF"/>
    <w:rsid w:val="00CC44C1"/>
    <w:rsid w:val="00CC6C74"/>
    <w:rsid w:val="00CD3C2F"/>
    <w:rsid w:val="00CD3F37"/>
    <w:rsid w:val="00CD47B9"/>
    <w:rsid w:val="00CD5C67"/>
    <w:rsid w:val="00CE236F"/>
    <w:rsid w:val="00CE7395"/>
    <w:rsid w:val="00CF07D6"/>
    <w:rsid w:val="00CF0C5C"/>
    <w:rsid w:val="00CF25CF"/>
    <w:rsid w:val="00CF6626"/>
    <w:rsid w:val="00D00BFA"/>
    <w:rsid w:val="00D0470B"/>
    <w:rsid w:val="00D05878"/>
    <w:rsid w:val="00D0595B"/>
    <w:rsid w:val="00D06EB0"/>
    <w:rsid w:val="00D1672F"/>
    <w:rsid w:val="00D201B9"/>
    <w:rsid w:val="00D26E42"/>
    <w:rsid w:val="00D34A30"/>
    <w:rsid w:val="00D35703"/>
    <w:rsid w:val="00D37CE6"/>
    <w:rsid w:val="00D51057"/>
    <w:rsid w:val="00D52039"/>
    <w:rsid w:val="00D60F13"/>
    <w:rsid w:val="00D61950"/>
    <w:rsid w:val="00D638B6"/>
    <w:rsid w:val="00D7004E"/>
    <w:rsid w:val="00D75F29"/>
    <w:rsid w:val="00D81BDE"/>
    <w:rsid w:val="00D82778"/>
    <w:rsid w:val="00D87409"/>
    <w:rsid w:val="00D93D6B"/>
    <w:rsid w:val="00D95929"/>
    <w:rsid w:val="00D96E89"/>
    <w:rsid w:val="00DA4366"/>
    <w:rsid w:val="00DA5A81"/>
    <w:rsid w:val="00DB18BA"/>
    <w:rsid w:val="00DB4CDB"/>
    <w:rsid w:val="00DB53FF"/>
    <w:rsid w:val="00DC203E"/>
    <w:rsid w:val="00DC3475"/>
    <w:rsid w:val="00DC586B"/>
    <w:rsid w:val="00DD0FCE"/>
    <w:rsid w:val="00DD5650"/>
    <w:rsid w:val="00DE613D"/>
    <w:rsid w:val="00DE7DCA"/>
    <w:rsid w:val="00DF1F6C"/>
    <w:rsid w:val="00DF2052"/>
    <w:rsid w:val="00DF3293"/>
    <w:rsid w:val="00DF42B0"/>
    <w:rsid w:val="00E05DC9"/>
    <w:rsid w:val="00E06A07"/>
    <w:rsid w:val="00E12A47"/>
    <w:rsid w:val="00E13C59"/>
    <w:rsid w:val="00E1431D"/>
    <w:rsid w:val="00E15E90"/>
    <w:rsid w:val="00E171F9"/>
    <w:rsid w:val="00E20AD4"/>
    <w:rsid w:val="00E217AC"/>
    <w:rsid w:val="00E37576"/>
    <w:rsid w:val="00E37B5D"/>
    <w:rsid w:val="00E45B52"/>
    <w:rsid w:val="00E55424"/>
    <w:rsid w:val="00E62B60"/>
    <w:rsid w:val="00E63135"/>
    <w:rsid w:val="00E64092"/>
    <w:rsid w:val="00E648E3"/>
    <w:rsid w:val="00E71258"/>
    <w:rsid w:val="00E757A1"/>
    <w:rsid w:val="00E772BF"/>
    <w:rsid w:val="00E806D3"/>
    <w:rsid w:val="00E84022"/>
    <w:rsid w:val="00E842A5"/>
    <w:rsid w:val="00E86188"/>
    <w:rsid w:val="00E91971"/>
    <w:rsid w:val="00E91EE2"/>
    <w:rsid w:val="00E92449"/>
    <w:rsid w:val="00EA365B"/>
    <w:rsid w:val="00ED54E9"/>
    <w:rsid w:val="00ED7604"/>
    <w:rsid w:val="00ED7791"/>
    <w:rsid w:val="00EF4239"/>
    <w:rsid w:val="00EF7323"/>
    <w:rsid w:val="00F1724C"/>
    <w:rsid w:val="00F33236"/>
    <w:rsid w:val="00F33856"/>
    <w:rsid w:val="00F41A4D"/>
    <w:rsid w:val="00F438E4"/>
    <w:rsid w:val="00F43D28"/>
    <w:rsid w:val="00F44893"/>
    <w:rsid w:val="00F44DEE"/>
    <w:rsid w:val="00F4787F"/>
    <w:rsid w:val="00F51FA3"/>
    <w:rsid w:val="00F56D76"/>
    <w:rsid w:val="00F625E1"/>
    <w:rsid w:val="00F70B94"/>
    <w:rsid w:val="00F767BD"/>
    <w:rsid w:val="00F80C70"/>
    <w:rsid w:val="00F820D9"/>
    <w:rsid w:val="00F83DBA"/>
    <w:rsid w:val="00F83EAC"/>
    <w:rsid w:val="00F91436"/>
    <w:rsid w:val="00FA2A90"/>
    <w:rsid w:val="00FA2BB7"/>
    <w:rsid w:val="00FA493E"/>
    <w:rsid w:val="00FA6BD8"/>
    <w:rsid w:val="00FA6DBA"/>
    <w:rsid w:val="00FA7B5A"/>
    <w:rsid w:val="00FC04C9"/>
    <w:rsid w:val="00FC10B2"/>
    <w:rsid w:val="00FC240C"/>
    <w:rsid w:val="00FC345C"/>
    <w:rsid w:val="00FC7802"/>
    <w:rsid w:val="00FC7976"/>
    <w:rsid w:val="00FC7FA5"/>
    <w:rsid w:val="00FD5EDE"/>
    <w:rsid w:val="00FD6C0B"/>
    <w:rsid w:val="00FE235E"/>
    <w:rsid w:val="00FE5D4F"/>
    <w:rsid w:val="00FE7304"/>
    <w:rsid w:val="00FF0591"/>
    <w:rsid w:val="00FF42A6"/>
    <w:rsid w:val="00FF4EEA"/>
    <w:rsid w:val="00FF73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0308D"/>
  <w15:docId w15:val="{15F3CBB7-C9D0-4C21-A195-8261FF08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806D3"/>
    <w:pPr>
      <w:widowControl w:val="0"/>
      <w:spacing w:before="185" w:after="0" w:line="240" w:lineRule="auto"/>
      <w:ind w:left="4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D5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25D4"/>
    <w:pPr>
      <w:ind w:left="720"/>
      <w:contextualSpacing/>
    </w:pPr>
  </w:style>
  <w:style w:type="paragraph" w:styleId="Header">
    <w:name w:val="header"/>
    <w:basedOn w:val="Normal"/>
    <w:link w:val="HeaderChar"/>
    <w:uiPriority w:val="99"/>
    <w:unhideWhenUsed/>
    <w:rsid w:val="0021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D2"/>
  </w:style>
  <w:style w:type="paragraph" w:styleId="Footer">
    <w:name w:val="footer"/>
    <w:basedOn w:val="Normal"/>
    <w:link w:val="FooterChar"/>
    <w:uiPriority w:val="99"/>
    <w:unhideWhenUsed/>
    <w:rsid w:val="0021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D2"/>
  </w:style>
  <w:style w:type="character" w:styleId="Hyperlink">
    <w:name w:val="Hyperlink"/>
    <w:basedOn w:val="DefaultParagraphFont"/>
    <w:uiPriority w:val="99"/>
    <w:unhideWhenUsed/>
    <w:rsid w:val="00954E37"/>
    <w:rPr>
      <w:color w:val="0000FF" w:themeColor="hyperlink"/>
      <w:u w:val="single"/>
    </w:rPr>
  </w:style>
  <w:style w:type="character" w:styleId="CommentReference">
    <w:name w:val="annotation reference"/>
    <w:basedOn w:val="DefaultParagraphFont"/>
    <w:uiPriority w:val="99"/>
    <w:semiHidden/>
    <w:unhideWhenUsed/>
    <w:rsid w:val="002D3C7F"/>
    <w:rPr>
      <w:sz w:val="16"/>
      <w:szCs w:val="16"/>
    </w:rPr>
  </w:style>
  <w:style w:type="paragraph" w:styleId="CommentText">
    <w:name w:val="annotation text"/>
    <w:basedOn w:val="Normal"/>
    <w:link w:val="CommentTextChar"/>
    <w:uiPriority w:val="99"/>
    <w:semiHidden/>
    <w:unhideWhenUsed/>
    <w:rsid w:val="002D3C7F"/>
    <w:pPr>
      <w:spacing w:line="240" w:lineRule="auto"/>
    </w:pPr>
    <w:rPr>
      <w:sz w:val="20"/>
      <w:szCs w:val="20"/>
    </w:rPr>
  </w:style>
  <w:style w:type="character" w:customStyle="1" w:styleId="CommentTextChar">
    <w:name w:val="Comment Text Char"/>
    <w:basedOn w:val="DefaultParagraphFont"/>
    <w:link w:val="CommentText"/>
    <w:uiPriority w:val="99"/>
    <w:semiHidden/>
    <w:rsid w:val="002D3C7F"/>
    <w:rPr>
      <w:sz w:val="20"/>
      <w:szCs w:val="20"/>
    </w:rPr>
  </w:style>
  <w:style w:type="paragraph" w:styleId="CommentSubject">
    <w:name w:val="annotation subject"/>
    <w:basedOn w:val="CommentText"/>
    <w:next w:val="CommentText"/>
    <w:link w:val="CommentSubjectChar"/>
    <w:uiPriority w:val="99"/>
    <w:semiHidden/>
    <w:unhideWhenUsed/>
    <w:rsid w:val="002D3C7F"/>
    <w:rPr>
      <w:b/>
      <w:bCs/>
    </w:rPr>
  </w:style>
  <w:style w:type="character" w:customStyle="1" w:styleId="CommentSubjectChar">
    <w:name w:val="Comment Subject Char"/>
    <w:basedOn w:val="CommentTextChar"/>
    <w:link w:val="CommentSubject"/>
    <w:uiPriority w:val="99"/>
    <w:semiHidden/>
    <w:rsid w:val="002D3C7F"/>
    <w:rPr>
      <w:b/>
      <w:bCs/>
      <w:sz w:val="20"/>
      <w:szCs w:val="20"/>
    </w:rPr>
  </w:style>
  <w:style w:type="paragraph" w:styleId="BalloonText">
    <w:name w:val="Balloon Text"/>
    <w:basedOn w:val="Normal"/>
    <w:link w:val="BalloonTextChar"/>
    <w:uiPriority w:val="99"/>
    <w:semiHidden/>
    <w:unhideWhenUsed/>
    <w:rsid w:val="002D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7F"/>
    <w:rPr>
      <w:rFonts w:ascii="Tahoma" w:hAnsi="Tahoma" w:cs="Tahoma"/>
      <w:sz w:val="16"/>
      <w:szCs w:val="16"/>
    </w:rPr>
  </w:style>
  <w:style w:type="paragraph" w:styleId="FootnoteText">
    <w:name w:val="footnote text"/>
    <w:basedOn w:val="Normal"/>
    <w:link w:val="FootnoteTextChar"/>
    <w:uiPriority w:val="99"/>
    <w:semiHidden/>
    <w:unhideWhenUsed/>
    <w:rsid w:val="00855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6E0"/>
    <w:rPr>
      <w:sz w:val="20"/>
      <w:szCs w:val="20"/>
    </w:rPr>
  </w:style>
  <w:style w:type="character" w:styleId="FootnoteReference">
    <w:name w:val="footnote reference"/>
    <w:basedOn w:val="DefaultParagraphFont"/>
    <w:uiPriority w:val="99"/>
    <w:semiHidden/>
    <w:unhideWhenUsed/>
    <w:rsid w:val="008556E0"/>
    <w:rPr>
      <w:vertAlign w:val="superscript"/>
    </w:rPr>
  </w:style>
  <w:style w:type="paragraph" w:styleId="Revision">
    <w:name w:val="Revision"/>
    <w:hidden/>
    <w:uiPriority w:val="99"/>
    <w:semiHidden/>
    <w:rsid w:val="003261FD"/>
    <w:pPr>
      <w:spacing w:after="0" w:line="240" w:lineRule="auto"/>
    </w:pPr>
  </w:style>
  <w:style w:type="character" w:customStyle="1" w:styleId="apple-converted-space">
    <w:name w:val="apple-converted-space"/>
    <w:basedOn w:val="DefaultParagraphFont"/>
    <w:rsid w:val="00ED7791"/>
  </w:style>
  <w:style w:type="character" w:styleId="Emphasis">
    <w:name w:val="Emphasis"/>
    <w:basedOn w:val="DefaultParagraphFont"/>
    <w:uiPriority w:val="20"/>
    <w:qFormat/>
    <w:rsid w:val="00ED7791"/>
    <w:rPr>
      <w:i/>
      <w:iCs/>
    </w:rPr>
  </w:style>
  <w:style w:type="paragraph" w:styleId="BodyTextIndent">
    <w:name w:val="Body Text Indent"/>
    <w:basedOn w:val="Normal"/>
    <w:link w:val="BodyTextIndentChar"/>
    <w:unhideWhenUsed/>
    <w:rsid w:val="00DA5A81"/>
    <w:pPr>
      <w:spacing w:after="0" w:line="240" w:lineRule="auto"/>
      <w:ind w:left="720" w:hanging="72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DA5A8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1C4B1A"/>
    <w:pPr>
      <w:spacing w:after="120"/>
    </w:pPr>
  </w:style>
  <w:style w:type="character" w:customStyle="1" w:styleId="BodyTextChar">
    <w:name w:val="Body Text Char"/>
    <w:basedOn w:val="DefaultParagraphFont"/>
    <w:link w:val="BodyText"/>
    <w:uiPriority w:val="99"/>
    <w:semiHidden/>
    <w:rsid w:val="001C4B1A"/>
  </w:style>
  <w:style w:type="table" w:styleId="TableGrid">
    <w:name w:val="Table Grid"/>
    <w:basedOn w:val="TableNormal"/>
    <w:uiPriority w:val="59"/>
    <w:rsid w:val="009A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806D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E4879"/>
    <w:rPr>
      <w:color w:val="800080" w:themeColor="followedHyperlink"/>
      <w:u w:val="single"/>
    </w:rPr>
  </w:style>
  <w:style w:type="character" w:customStyle="1" w:styleId="Heading2Char">
    <w:name w:val="Heading 2 Char"/>
    <w:basedOn w:val="DefaultParagraphFont"/>
    <w:link w:val="Heading2"/>
    <w:uiPriority w:val="9"/>
    <w:semiHidden/>
    <w:rsid w:val="003D5544"/>
    <w:rPr>
      <w:rFonts w:asciiTheme="majorHAnsi" w:eastAsiaTheme="majorEastAsia" w:hAnsiTheme="majorHAnsi" w:cstheme="majorBidi"/>
      <w:b/>
      <w:bCs/>
      <w:color w:val="4F81BD" w:themeColor="accent1"/>
      <w:sz w:val="26"/>
      <w:szCs w:val="26"/>
    </w:rPr>
  </w:style>
  <w:style w:type="paragraph" w:customStyle="1" w:styleId="Default">
    <w:name w:val="Default"/>
    <w:rsid w:val="005275E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34928"/>
    <w:pPr>
      <w:pBdr>
        <w:bottom w:val="single" w:sz="8" w:space="4" w:color="4F81BD"/>
      </w:pBdr>
      <w:spacing w:after="300" w:line="240" w:lineRule="auto"/>
      <w:contextualSpacing/>
    </w:pPr>
    <w:rPr>
      <w:rFonts w:ascii="Cambria" w:eastAsia="MS Gothic"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034928"/>
    <w:rPr>
      <w:rFonts w:ascii="Cambria" w:eastAsia="MS Gothic" w:hAnsi="Cambria" w:cs="Times New Roman"/>
      <w:color w:val="17365D"/>
      <w:spacing w:val="5"/>
      <w:kern w:val="28"/>
      <w:sz w:val="52"/>
      <w:szCs w:val="52"/>
      <w:lang w:eastAsia="ja-JP"/>
    </w:rPr>
  </w:style>
  <w:style w:type="character" w:styleId="Strong">
    <w:name w:val="Strong"/>
    <w:qFormat/>
    <w:rsid w:val="00034928"/>
    <w:rPr>
      <w:rFonts w:cs="Times New Roman"/>
      <w:b/>
    </w:rPr>
  </w:style>
  <w:style w:type="paragraph" w:styleId="TOCHeading">
    <w:name w:val="TOC Heading"/>
    <w:basedOn w:val="Heading1"/>
    <w:next w:val="Normal"/>
    <w:uiPriority w:val="39"/>
    <w:unhideWhenUsed/>
    <w:qFormat/>
    <w:rsid w:val="00BE67EF"/>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E67E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E67EF"/>
    <w:pPr>
      <w:spacing w:after="100" w:line="259" w:lineRule="auto"/>
    </w:pPr>
    <w:rPr>
      <w:rFonts w:eastAsiaTheme="minorEastAsia" w:cs="Times New Roman"/>
    </w:rPr>
  </w:style>
  <w:style w:type="paragraph" w:styleId="TOC3">
    <w:name w:val="toc 3"/>
    <w:basedOn w:val="Normal"/>
    <w:next w:val="Normal"/>
    <w:autoRedefine/>
    <w:uiPriority w:val="39"/>
    <w:unhideWhenUsed/>
    <w:rsid w:val="00BE67EF"/>
    <w:pPr>
      <w:spacing w:after="100" w:line="259" w:lineRule="auto"/>
      <w:ind w:left="440"/>
    </w:pPr>
    <w:rPr>
      <w:rFonts w:eastAsiaTheme="minorEastAsia" w:cs="Times New Roman"/>
    </w:rPr>
  </w:style>
  <w:style w:type="character" w:customStyle="1" w:styleId="UnresolvedMention1">
    <w:name w:val="Unresolved Mention1"/>
    <w:basedOn w:val="DefaultParagraphFont"/>
    <w:uiPriority w:val="99"/>
    <w:semiHidden/>
    <w:unhideWhenUsed/>
    <w:rsid w:val="00D3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3771">
      <w:bodyDiv w:val="1"/>
      <w:marLeft w:val="0"/>
      <w:marRight w:val="0"/>
      <w:marTop w:val="0"/>
      <w:marBottom w:val="0"/>
      <w:divBdr>
        <w:top w:val="none" w:sz="0" w:space="0" w:color="auto"/>
        <w:left w:val="none" w:sz="0" w:space="0" w:color="auto"/>
        <w:bottom w:val="none" w:sz="0" w:space="0" w:color="auto"/>
        <w:right w:val="none" w:sz="0" w:space="0" w:color="auto"/>
      </w:divBdr>
    </w:div>
    <w:div w:id="178474619">
      <w:bodyDiv w:val="1"/>
      <w:marLeft w:val="0"/>
      <w:marRight w:val="0"/>
      <w:marTop w:val="0"/>
      <w:marBottom w:val="0"/>
      <w:divBdr>
        <w:top w:val="none" w:sz="0" w:space="0" w:color="auto"/>
        <w:left w:val="none" w:sz="0" w:space="0" w:color="auto"/>
        <w:bottom w:val="none" w:sz="0" w:space="0" w:color="auto"/>
        <w:right w:val="none" w:sz="0" w:space="0" w:color="auto"/>
      </w:divBdr>
    </w:div>
    <w:div w:id="374503704">
      <w:bodyDiv w:val="1"/>
      <w:marLeft w:val="0"/>
      <w:marRight w:val="0"/>
      <w:marTop w:val="0"/>
      <w:marBottom w:val="0"/>
      <w:divBdr>
        <w:top w:val="none" w:sz="0" w:space="0" w:color="auto"/>
        <w:left w:val="none" w:sz="0" w:space="0" w:color="auto"/>
        <w:bottom w:val="none" w:sz="0" w:space="0" w:color="auto"/>
        <w:right w:val="none" w:sz="0" w:space="0" w:color="auto"/>
      </w:divBdr>
    </w:div>
    <w:div w:id="391467124">
      <w:bodyDiv w:val="1"/>
      <w:marLeft w:val="0"/>
      <w:marRight w:val="0"/>
      <w:marTop w:val="0"/>
      <w:marBottom w:val="0"/>
      <w:divBdr>
        <w:top w:val="none" w:sz="0" w:space="0" w:color="auto"/>
        <w:left w:val="none" w:sz="0" w:space="0" w:color="auto"/>
        <w:bottom w:val="none" w:sz="0" w:space="0" w:color="auto"/>
        <w:right w:val="none" w:sz="0" w:space="0" w:color="auto"/>
      </w:divBdr>
    </w:div>
    <w:div w:id="586839678">
      <w:bodyDiv w:val="1"/>
      <w:marLeft w:val="0"/>
      <w:marRight w:val="0"/>
      <w:marTop w:val="0"/>
      <w:marBottom w:val="0"/>
      <w:divBdr>
        <w:top w:val="none" w:sz="0" w:space="0" w:color="auto"/>
        <w:left w:val="none" w:sz="0" w:space="0" w:color="auto"/>
        <w:bottom w:val="none" w:sz="0" w:space="0" w:color="auto"/>
        <w:right w:val="none" w:sz="0" w:space="0" w:color="auto"/>
      </w:divBdr>
      <w:divsChild>
        <w:div w:id="434637722">
          <w:marLeft w:val="864"/>
          <w:marRight w:val="0"/>
          <w:marTop w:val="86"/>
          <w:marBottom w:val="240"/>
          <w:divBdr>
            <w:top w:val="none" w:sz="0" w:space="0" w:color="auto"/>
            <w:left w:val="none" w:sz="0" w:space="0" w:color="auto"/>
            <w:bottom w:val="none" w:sz="0" w:space="0" w:color="auto"/>
            <w:right w:val="none" w:sz="0" w:space="0" w:color="auto"/>
          </w:divBdr>
        </w:div>
        <w:div w:id="1722360856">
          <w:marLeft w:val="864"/>
          <w:marRight w:val="0"/>
          <w:marTop w:val="86"/>
          <w:marBottom w:val="240"/>
          <w:divBdr>
            <w:top w:val="none" w:sz="0" w:space="0" w:color="auto"/>
            <w:left w:val="none" w:sz="0" w:space="0" w:color="auto"/>
            <w:bottom w:val="none" w:sz="0" w:space="0" w:color="auto"/>
            <w:right w:val="none" w:sz="0" w:space="0" w:color="auto"/>
          </w:divBdr>
        </w:div>
        <w:div w:id="357853346">
          <w:marLeft w:val="864"/>
          <w:marRight w:val="0"/>
          <w:marTop w:val="86"/>
          <w:marBottom w:val="240"/>
          <w:divBdr>
            <w:top w:val="none" w:sz="0" w:space="0" w:color="auto"/>
            <w:left w:val="none" w:sz="0" w:space="0" w:color="auto"/>
            <w:bottom w:val="none" w:sz="0" w:space="0" w:color="auto"/>
            <w:right w:val="none" w:sz="0" w:space="0" w:color="auto"/>
          </w:divBdr>
        </w:div>
      </w:divsChild>
    </w:div>
    <w:div w:id="682320786">
      <w:bodyDiv w:val="1"/>
      <w:marLeft w:val="0"/>
      <w:marRight w:val="0"/>
      <w:marTop w:val="0"/>
      <w:marBottom w:val="0"/>
      <w:divBdr>
        <w:top w:val="none" w:sz="0" w:space="0" w:color="auto"/>
        <w:left w:val="none" w:sz="0" w:space="0" w:color="auto"/>
        <w:bottom w:val="none" w:sz="0" w:space="0" w:color="auto"/>
        <w:right w:val="none" w:sz="0" w:space="0" w:color="auto"/>
      </w:divBdr>
    </w:div>
    <w:div w:id="835078021">
      <w:bodyDiv w:val="1"/>
      <w:marLeft w:val="0"/>
      <w:marRight w:val="0"/>
      <w:marTop w:val="0"/>
      <w:marBottom w:val="0"/>
      <w:divBdr>
        <w:top w:val="none" w:sz="0" w:space="0" w:color="auto"/>
        <w:left w:val="none" w:sz="0" w:space="0" w:color="auto"/>
        <w:bottom w:val="none" w:sz="0" w:space="0" w:color="auto"/>
        <w:right w:val="none" w:sz="0" w:space="0" w:color="auto"/>
      </w:divBdr>
    </w:div>
    <w:div w:id="1084765594">
      <w:bodyDiv w:val="1"/>
      <w:marLeft w:val="0"/>
      <w:marRight w:val="0"/>
      <w:marTop w:val="0"/>
      <w:marBottom w:val="0"/>
      <w:divBdr>
        <w:top w:val="none" w:sz="0" w:space="0" w:color="auto"/>
        <w:left w:val="none" w:sz="0" w:space="0" w:color="auto"/>
        <w:bottom w:val="none" w:sz="0" w:space="0" w:color="auto"/>
        <w:right w:val="none" w:sz="0" w:space="0" w:color="auto"/>
      </w:divBdr>
    </w:div>
    <w:div w:id="1274364839">
      <w:bodyDiv w:val="1"/>
      <w:marLeft w:val="0"/>
      <w:marRight w:val="0"/>
      <w:marTop w:val="0"/>
      <w:marBottom w:val="0"/>
      <w:divBdr>
        <w:top w:val="none" w:sz="0" w:space="0" w:color="auto"/>
        <w:left w:val="none" w:sz="0" w:space="0" w:color="auto"/>
        <w:bottom w:val="none" w:sz="0" w:space="0" w:color="auto"/>
        <w:right w:val="none" w:sz="0" w:space="0" w:color="auto"/>
      </w:divBdr>
    </w:div>
    <w:div w:id="1480804213">
      <w:bodyDiv w:val="1"/>
      <w:marLeft w:val="0"/>
      <w:marRight w:val="0"/>
      <w:marTop w:val="0"/>
      <w:marBottom w:val="0"/>
      <w:divBdr>
        <w:top w:val="none" w:sz="0" w:space="0" w:color="auto"/>
        <w:left w:val="none" w:sz="0" w:space="0" w:color="auto"/>
        <w:bottom w:val="none" w:sz="0" w:space="0" w:color="auto"/>
        <w:right w:val="none" w:sz="0" w:space="0" w:color="auto"/>
      </w:divBdr>
    </w:div>
    <w:div w:id="1717319100">
      <w:bodyDiv w:val="1"/>
      <w:marLeft w:val="0"/>
      <w:marRight w:val="0"/>
      <w:marTop w:val="0"/>
      <w:marBottom w:val="0"/>
      <w:divBdr>
        <w:top w:val="none" w:sz="0" w:space="0" w:color="auto"/>
        <w:left w:val="none" w:sz="0" w:space="0" w:color="auto"/>
        <w:bottom w:val="none" w:sz="0" w:space="0" w:color="auto"/>
        <w:right w:val="none" w:sz="0" w:space="0" w:color="auto"/>
      </w:divBdr>
      <w:divsChild>
        <w:div w:id="1563951737">
          <w:marLeft w:val="432"/>
          <w:marRight w:val="0"/>
          <w:marTop w:val="96"/>
          <w:marBottom w:val="0"/>
          <w:divBdr>
            <w:top w:val="none" w:sz="0" w:space="0" w:color="auto"/>
            <w:left w:val="none" w:sz="0" w:space="0" w:color="auto"/>
            <w:bottom w:val="none" w:sz="0" w:space="0" w:color="auto"/>
            <w:right w:val="none" w:sz="0" w:space="0" w:color="auto"/>
          </w:divBdr>
        </w:div>
        <w:div w:id="1490513081">
          <w:marLeft w:val="864"/>
          <w:marRight w:val="0"/>
          <w:marTop w:val="86"/>
          <w:marBottom w:val="240"/>
          <w:divBdr>
            <w:top w:val="none" w:sz="0" w:space="0" w:color="auto"/>
            <w:left w:val="none" w:sz="0" w:space="0" w:color="auto"/>
            <w:bottom w:val="none" w:sz="0" w:space="0" w:color="auto"/>
            <w:right w:val="none" w:sz="0" w:space="0" w:color="auto"/>
          </w:divBdr>
        </w:div>
        <w:div w:id="507326714">
          <w:marLeft w:val="864"/>
          <w:marRight w:val="0"/>
          <w:marTop w:val="86"/>
          <w:marBottom w:val="240"/>
          <w:divBdr>
            <w:top w:val="none" w:sz="0" w:space="0" w:color="auto"/>
            <w:left w:val="none" w:sz="0" w:space="0" w:color="auto"/>
            <w:bottom w:val="none" w:sz="0" w:space="0" w:color="auto"/>
            <w:right w:val="none" w:sz="0" w:space="0" w:color="auto"/>
          </w:divBdr>
        </w:div>
        <w:div w:id="848787833">
          <w:marLeft w:val="864"/>
          <w:marRight w:val="0"/>
          <w:marTop w:val="86"/>
          <w:marBottom w:val="240"/>
          <w:divBdr>
            <w:top w:val="none" w:sz="0" w:space="0" w:color="auto"/>
            <w:left w:val="none" w:sz="0" w:space="0" w:color="auto"/>
            <w:bottom w:val="none" w:sz="0" w:space="0" w:color="auto"/>
            <w:right w:val="none" w:sz="0" w:space="0" w:color="auto"/>
          </w:divBdr>
        </w:div>
        <w:div w:id="673843276">
          <w:marLeft w:val="864"/>
          <w:marRight w:val="0"/>
          <w:marTop w:val="86"/>
          <w:marBottom w:val="240"/>
          <w:divBdr>
            <w:top w:val="none" w:sz="0" w:space="0" w:color="auto"/>
            <w:left w:val="none" w:sz="0" w:space="0" w:color="auto"/>
            <w:bottom w:val="none" w:sz="0" w:space="0" w:color="auto"/>
            <w:right w:val="none" w:sz="0" w:space="0" w:color="auto"/>
          </w:divBdr>
        </w:div>
        <w:div w:id="1079249750">
          <w:marLeft w:val="864"/>
          <w:marRight w:val="0"/>
          <w:marTop w:val="86"/>
          <w:marBottom w:val="240"/>
          <w:divBdr>
            <w:top w:val="none" w:sz="0" w:space="0" w:color="auto"/>
            <w:left w:val="none" w:sz="0" w:space="0" w:color="auto"/>
            <w:bottom w:val="none" w:sz="0" w:space="0" w:color="auto"/>
            <w:right w:val="none" w:sz="0" w:space="0" w:color="auto"/>
          </w:divBdr>
        </w:div>
      </w:divsChild>
    </w:div>
    <w:div w:id="1821657762">
      <w:bodyDiv w:val="1"/>
      <w:marLeft w:val="0"/>
      <w:marRight w:val="0"/>
      <w:marTop w:val="0"/>
      <w:marBottom w:val="0"/>
      <w:divBdr>
        <w:top w:val="none" w:sz="0" w:space="0" w:color="auto"/>
        <w:left w:val="none" w:sz="0" w:space="0" w:color="auto"/>
        <w:bottom w:val="none" w:sz="0" w:space="0" w:color="auto"/>
        <w:right w:val="none" w:sz="0" w:space="0" w:color="auto"/>
      </w:divBdr>
    </w:div>
    <w:div w:id="21304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less.baltimorecity.gov/grant-opportunities" TargetMode="External"/><Relationship Id="rId18" Type="http://schemas.openxmlformats.org/officeDocument/2006/relationships/hyperlink" Target="mailto:HSPApplications@baltimorecity.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SApplications@baltimorecity.gov.%20" TargetMode="External"/><Relationship Id="rId7" Type="http://schemas.openxmlformats.org/officeDocument/2006/relationships/endnotes" Target="endnotes.xml"/><Relationship Id="rId12" Type="http://schemas.openxmlformats.org/officeDocument/2006/relationships/hyperlink" Target="https://journeyhome.wpengine.com/wp-content/uploads/2021/08/CharterBylaws-2020-FINAL.pdf" TargetMode="External"/><Relationship Id="rId17" Type="http://schemas.openxmlformats.org/officeDocument/2006/relationships/hyperlink" Target="mailto:HSPApplications@baltimorecity.gov" TargetMode="External"/><Relationship Id="rId25" Type="http://schemas.openxmlformats.org/officeDocument/2006/relationships/hyperlink" Target="mailto:HSPApplications@baltimorecity.gov.%20" TargetMode="External"/><Relationship Id="rId2" Type="http://schemas.openxmlformats.org/officeDocument/2006/relationships/numbering" Target="numbering.xml"/><Relationship Id="rId16" Type="http://schemas.openxmlformats.org/officeDocument/2006/relationships/hyperlink" Target="https://homeless.baltimorecity.gov/grant-opportunities" TargetMode="External"/><Relationship Id="rId20" Type="http://schemas.openxmlformats.org/officeDocument/2006/relationships/hyperlink" Target="mailto:HSPApplications@baltimorecity.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homelessness.org/taking-stock-of-your-system-2021-notice-of-funding-opportunity/" TargetMode="External"/><Relationship Id="rId24" Type="http://schemas.openxmlformats.org/officeDocument/2006/relationships/hyperlink" Target="mailto:HSPApplications@baltimorecity.gov.%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ttendee.gotowebinar.com/register/8944873855496330764" TargetMode="External"/><Relationship Id="rId23" Type="http://schemas.openxmlformats.org/officeDocument/2006/relationships/hyperlink" Target="mailto:%20HSPApplications@baltimorecity.gov.%20"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s://www.usich.gov/news/hud-announces-homeless-services-organizations" TargetMode="External"/><Relationship Id="rId19" Type="http://schemas.openxmlformats.org/officeDocument/2006/relationships/hyperlink" Target="mailto:HSPApplications@baltimorecity.gov"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udexchange.info/programs/e-snaps/fy-2021-coc-program-nofa-coc-program-competition/" TargetMode="External"/><Relationship Id="rId14" Type="http://schemas.openxmlformats.org/officeDocument/2006/relationships/hyperlink" Target="http://baltimorecity.us3.list-manage.com/subscribe?u=88a2b21d5f027193121a55d08&amp;id=ef19d34dfa" TargetMode="External"/><Relationship Id="rId22" Type="http://schemas.openxmlformats.org/officeDocument/2006/relationships/hyperlink" Target="http://www.dat.state.md.us"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5D"/>
    <w:rsid w:val="0045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B30994378461CB601ADBE831D3643">
    <w:name w:val="2E1B30994378461CB601ADBE831D3643"/>
    <w:rsid w:val="0045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8617-0A7B-4632-B327-BC1F3FC6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8575</Words>
  <Characters>48883</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Journey Home</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Breidenstine, Adrienne</dc:creator>
  <cp:lastModifiedBy>Nandi, Paroma (MOHS)</cp:lastModifiedBy>
  <cp:revision>2</cp:revision>
  <cp:lastPrinted>2016-07-14T20:27:00Z</cp:lastPrinted>
  <dcterms:created xsi:type="dcterms:W3CDTF">2021-09-03T19:11:00Z</dcterms:created>
  <dcterms:modified xsi:type="dcterms:W3CDTF">2021-09-03T19:11:00Z</dcterms:modified>
</cp:coreProperties>
</file>